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3204E2" w:rsidRDefault="00E77CB3" w:rsidP="003204E2">
      <w:pPr>
        <w:jc w:val="center"/>
        <w:rPr>
          <w:lang w:val="fr-FR"/>
        </w:rPr>
      </w:pPr>
      <w:bookmarkStart w:id="0" w:name="_GoBack"/>
      <w:bookmarkEnd w:id="0"/>
    </w:p>
    <w:p w:rsidR="00681DD3" w:rsidRPr="003204E2" w:rsidRDefault="00681DD3" w:rsidP="003204E2">
      <w:pPr>
        <w:jc w:val="center"/>
        <w:rPr>
          <w:lang w:val="fr-FR"/>
        </w:rPr>
      </w:pPr>
    </w:p>
    <w:p w:rsidR="00681DD3" w:rsidRPr="003204E2" w:rsidRDefault="00681DD3" w:rsidP="003204E2">
      <w:pPr>
        <w:jc w:val="center"/>
        <w:rPr>
          <w:lang w:val="fr-FR"/>
        </w:rPr>
      </w:pPr>
    </w:p>
    <w:p w:rsidR="00E77CB3" w:rsidRPr="003204E2" w:rsidRDefault="00443E37" w:rsidP="003204E2">
      <w:pPr>
        <w:jc w:val="center"/>
        <w:rPr>
          <w:lang w:val="fr-FR"/>
        </w:rPr>
      </w:pPr>
      <w:r w:rsidRPr="003204E2">
        <w:rPr>
          <w:lang w:val="fr-FR"/>
        </w:rPr>
        <w:t>PREMIÈRE SECTION</w:t>
      </w:r>
    </w:p>
    <w:p w:rsidR="00E77CB3" w:rsidRPr="003204E2" w:rsidRDefault="00E77CB3" w:rsidP="003204E2">
      <w:pPr>
        <w:jc w:val="center"/>
        <w:rPr>
          <w:lang w:val="fr-FR"/>
        </w:rPr>
      </w:pPr>
    </w:p>
    <w:p w:rsidR="00681DD3" w:rsidRPr="003204E2" w:rsidRDefault="00681DD3" w:rsidP="003204E2">
      <w:pPr>
        <w:jc w:val="center"/>
        <w:rPr>
          <w:lang w:val="fr-FR"/>
        </w:rPr>
      </w:pPr>
    </w:p>
    <w:p w:rsidR="00681DD3" w:rsidRPr="003204E2" w:rsidRDefault="00681DD3" w:rsidP="003204E2">
      <w:pPr>
        <w:jc w:val="center"/>
        <w:rPr>
          <w:lang w:val="fr-FR"/>
        </w:rPr>
      </w:pPr>
    </w:p>
    <w:p w:rsidR="00681DD3" w:rsidRPr="003204E2" w:rsidRDefault="00681DD3" w:rsidP="003204E2">
      <w:pPr>
        <w:jc w:val="center"/>
        <w:rPr>
          <w:lang w:val="fr-FR"/>
        </w:rPr>
      </w:pPr>
    </w:p>
    <w:p w:rsidR="00681DD3" w:rsidRPr="003204E2" w:rsidRDefault="00681DD3" w:rsidP="003204E2">
      <w:pPr>
        <w:jc w:val="center"/>
        <w:rPr>
          <w:lang w:val="fr-FR"/>
        </w:rPr>
      </w:pPr>
    </w:p>
    <w:p w:rsidR="00681DD3" w:rsidRPr="003204E2" w:rsidRDefault="00681DD3" w:rsidP="003204E2">
      <w:pPr>
        <w:jc w:val="center"/>
        <w:rPr>
          <w:lang w:val="fr-FR"/>
        </w:rPr>
      </w:pPr>
    </w:p>
    <w:p w:rsidR="00E77CB3" w:rsidRPr="003204E2" w:rsidRDefault="00E77CB3" w:rsidP="003204E2">
      <w:pPr>
        <w:jc w:val="center"/>
        <w:rPr>
          <w:b/>
          <w:lang w:val="fr-FR"/>
        </w:rPr>
      </w:pPr>
      <w:bookmarkStart w:id="1" w:name="To"/>
      <w:r w:rsidRPr="003204E2">
        <w:rPr>
          <w:b/>
          <w:lang w:val="fr-FR"/>
        </w:rPr>
        <w:t xml:space="preserve">AFFAIRE </w:t>
      </w:r>
      <w:bookmarkEnd w:id="1"/>
      <w:r w:rsidR="00443E37" w:rsidRPr="003204E2">
        <w:rPr>
          <w:b/>
          <w:lang w:val="fr-FR"/>
        </w:rPr>
        <w:t>BRAMBILLA ET AUTRES c. ITALIE</w:t>
      </w:r>
    </w:p>
    <w:p w:rsidR="00E77CB3" w:rsidRPr="003204E2" w:rsidRDefault="00E77CB3" w:rsidP="003204E2">
      <w:pPr>
        <w:jc w:val="center"/>
        <w:rPr>
          <w:lang w:val="fr-FR"/>
        </w:rPr>
      </w:pPr>
    </w:p>
    <w:p w:rsidR="00E77CB3" w:rsidRPr="003204E2" w:rsidRDefault="00E77CB3" w:rsidP="003204E2">
      <w:pPr>
        <w:jc w:val="center"/>
        <w:rPr>
          <w:szCs w:val="24"/>
          <w:u w:val="single"/>
          <w:lang w:val="fr-FR"/>
        </w:rPr>
      </w:pPr>
      <w:r w:rsidRPr="003204E2">
        <w:rPr>
          <w:i/>
          <w:lang w:val="fr-FR"/>
        </w:rPr>
        <w:t>(</w:t>
      </w:r>
      <w:r w:rsidR="00443E37" w:rsidRPr="003204E2">
        <w:rPr>
          <w:i/>
          <w:lang w:val="fr-FR"/>
        </w:rPr>
        <w:t>Requête n</w:t>
      </w:r>
      <w:r w:rsidR="00443E37" w:rsidRPr="003204E2">
        <w:rPr>
          <w:i/>
          <w:vertAlign w:val="superscript"/>
          <w:lang w:val="fr-FR"/>
        </w:rPr>
        <w:t>o</w:t>
      </w:r>
      <w:r w:rsidR="00443E37" w:rsidRPr="003204E2">
        <w:rPr>
          <w:i/>
          <w:lang w:val="fr-FR"/>
        </w:rPr>
        <w:t xml:space="preserve"> 22567/09</w:t>
      </w:r>
      <w:r w:rsidRPr="003204E2">
        <w:rPr>
          <w:i/>
          <w:lang w:val="fr-FR"/>
        </w:rPr>
        <w:t>)</w:t>
      </w:r>
    </w:p>
    <w:p w:rsidR="00681DD3" w:rsidRPr="003204E2" w:rsidRDefault="00681DD3" w:rsidP="003204E2">
      <w:pPr>
        <w:jc w:val="center"/>
        <w:rPr>
          <w:szCs w:val="24"/>
          <w:lang w:val="fr-FR"/>
        </w:rPr>
      </w:pPr>
    </w:p>
    <w:p w:rsidR="00681DD3" w:rsidRPr="003204E2" w:rsidRDefault="00681DD3" w:rsidP="003204E2">
      <w:pPr>
        <w:jc w:val="center"/>
        <w:rPr>
          <w:szCs w:val="24"/>
          <w:lang w:val="fr-FR"/>
        </w:rPr>
      </w:pPr>
    </w:p>
    <w:p w:rsidR="00681DD3" w:rsidRPr="003204E2" w:rsidRDefault="00681DD3" w:rsidP="003204E2">
      <w:pPr>
        <w:jc w:val="center"/>
        <w:rPr>
          <w:szCs w:val="24"/>
          <w:lang w:val="fr-FR"/>
        </w:rPr>
      </w:pPr>
    </w:p>
    <w:p w:rsidR="00681DD3" w:rsidRPr="003204E2" w:rsidRDefault="00681DD3" w:rsidP="003204E2">
      <w:pPr>
        <w:jc w:val="center"/>
        <w:rPr>
          <w:szCs w:val="24"/>
          <w:lang w:val="fr-FR"/>
        </w:rPr>
      </w:pPr>
    </w:p>
    <w:p w:rsidR="00681DD3" w:rsidRPr="003204E2" w:rsidRDefault="00681DD3" w:rsidP="003204E2">
      <w:pPr>
        <w:jc w:val="center"/>
        <w:rPr>
          <w:szCs w:val="24"/>
          <w:lang w:val="fr-FR"/>
        </w:rPr>
      </w:pPr>
    </w:p>
    <w:p w:rsidR="00681DD3" w:rsidRPr="003204E2" w:rsidRDefault="00681DD3" w:rsidP="003204E2">
      <w:pPr>
        <w:jc w:val="center"/>
        <w:rPr>
          <w:szCs w:val="24"/>
          <w:lang w:val="fr-FR"/>
        </w:rPr>
      </w:pPr>
    </w:p>
    <w:p w:rsidR="00681DD3" w:rsidRPr="003204E2" w:rsidRDefault="00681DD3" w:rsidP="003204E2">
      <w:pPr>
        <w:jc w:val="center"/>
        <w:rPr>
          <w:szCs w:val="24"/>
          <w:lang w:val="fr-FR"/>
        </w:rPr>
      </w:pPr>
    </w:p>
    <w:p w:rsidR="00681DD3" w:rsidRPr="003204E2" w:rsidRDefault="00681DD3" w:rsidP="003204E2">
      <w:pPr>
        <w:jc w:val="center"/>
        <w:rPr>
          <w:szCs w:val="24"/>
          <w:lang w:val="fr-FR"/>
        </w:rPr>
      </w:pPr>
    </w:p>
    <w:p w:rsidR="00681DD3" w:rsidRPr="003204E2" w:rsidRDefault="00681DD3" w:rsidP="003204E2">
      <w:pPr>
        <w:jc w:val="center"/>
        <w:rPr>
          <w:szCs w:val="24"/>
          <w:lang w:val="fr-FR"/>
        </w:rPr>
      </w:pPr>
    </w:p>
    <w:p w:rsidR="00681DD3" w:rsidRPr="003204E2" w:rsidRDefault="00681DD3" w:rsidP="003204E2">
      <w:pPr>
        <w:jc w:val="center"/>
        <w:rPr>
          <w:szCs w:val="24"/>
          <w:lang w:val="fr-FR"/>
        </w:rPr>
      </w:pPr>
      <w:r w:rsidRPr="003204E2">
        <w:rPr>
          <w:szCs w:val="24"/>
          <w:lang w:val="fr-FR"/>
        </w:rPr>
        <w:t>ARRÊT</w:t>
      </w:r>
    </w:p>
    <w:p w:rsidR="00681DD3" w:rsidRPr="003204E2" w:rsidRDefault="00681DD3" w:rsidP="003204E2">
      <w:pPr>
        <w:jc w:val="center"/>
        <w:rPr>
          <w:szCs w:val="24"/>
          <w:lang w:val="fr-FR"/>
        </w:rPr>
      </w:pPr>
    </w:p>
    <w:p w:rsidR="00681DD3" w:rsidRPr="003204E2" w:rsidRDefault="00681DD3" w:rsidP="003204E2">
      <w:pPr>
        <w:jc w:val="center"/>
        <w:rPr>
          <w:szCs w:val="24"/>
          <w:lang w:val="fr-FR"/>
        </w:rPr>
      </w:pPr>
    </w:p>
    <w:p w:rsidR="00681DD3" w:rsidRPr="003204E2" w:rsidRDefault="00681DD3" w:rsidP="003204E2">
      <w:pPr>
        <w:jc w:val="center"/>
        <w:rPr>
          <w:szCs w:val="24"/>
          <w:lang w:val="fr-FR"/>
        </w:rPr>
      </w:pPr>
    </w:p>
    <w:p w:rsidR="00681DD3" w:rsidRPr="003204E2" w:rsidRDefault="00681DD3" w:rsidP="003204E2">
      <w:pPr>
        <w:jc w:val="center"/>
        <w:rPr>
          <w:szCs w:val="24"/>
          <w:lang w:val="fr-FR"/>
        </w:rPr>
      </w:pPr>
      <w:r w:rsidRPr="003204E2">
        <w:rPr>
          <w:szCs w:val="24"/>
          <w:lang w:val="fr-FR"/>
        </w:rPr>
        <w:t>STRASBOURG</w:t>
      </w:r>
    </w:p>
    <w:p w:rsidR="00681DD3" w:rsidRPr="003204E2" w:rsidRDefault="00681DD3" w:rsidP="003204E2">
      <w:pPr>
        <w:jc w:val="center"/>
        <w:rPr>
          <w:szCs w:val="24"/>
          <w:lang w:val="fr-FR"/>
        </w:rPr>
      </w:pPr>
    </w:p>
    <w:p w:rsidR="00681DD3" w:rsidRPr="003204E2" w:rsidRDefault="00BF72A1" w:rsidP="003204E2">
      <w:pPr>
        <w:jc w:val="center"/>
        <w:rPr>
          <w:szCs w:val="24"/>
          <w:lang w:val="fr-FR"/>
        </w:rPr>
      </w:pPr>
      <w:r w:rsidRPr="003204E2">
        <w:rPr>
          <w:szCs w:val="24"/>
          <w:lang w:val="fr-FR"/>
        </w:rPr>
        <w:t>23 juin 2016</w:t>
      </w:r>
    </w:p>
    <w:p w:rsidR="00681DD3" w:rsidRPr="003204E2" w:rsidRDefault="00681DD3" w:rsidP="003204E2">
      <w:pPr>
        <w:jc w:val="center"/>
        <w:rPr>
          <w:szCs w:val="24"/>
          <w:lang w:val="fr-FR"/>
        </w:rPr>
      </w:pPr>
    </w:p>
    <w:p w:rsidR="00681DD3" w:rsidRPr="003204E2" w:rsidRDefault="00681DD3" w:rsidP="003204E2">
      <w:pPr>
        <w:jc w:val="center"/>
        <w:rPr>
          <w:szCs w:val="24"/>
          <w:lang w:val="fr-FR"/>
        </w:rPr>
      </w:pPr>
    </w:p>
    <w:p w:rsidR="001967BB" w:rsidRPr="003204E2" w:rsidRDefault="001967BB" w:rsidP="003204E2">
      <w:pPr>
        <w:jc w:val="center"/>
        <w:rPr>
          <w:szCs w:val="24"/>
          <w:lang w:val="fr-FR"/>
        </w:rPr>
      </w:pPr>
    </w:p>
    <w:p w:rsidR="001967BB" w:rsidRPr="003204E2" w:rsidRDefault="001967BB" w:rsidP="003204E2">
      <w:pPr>
        <w:jc w:val="center"/>
        <w:rPr>
          <w:szCs w:val="24"/>
          <w:lang w:val="fr-FR"/>
        </w:rPr>
      </w:pPr>
    </w:p>
    <w:p w:rsidR="00681DD3" w:rsidRPr="003204E2" w:rsidRDefault="00681DD3" w:rsidP="003204E2">
      <w:pPr>
        <w:jc w:val="center"/>
        <w:rPr>
          <w:szCs w:val="24"/>
          <w:lang w:val="fr-FR"/>
        </w:rPr>
      </w:pPr>
    </w:p>
    <w:p w:rsidR="00BF72A1" w:rsidRPr="003204E2" w:rsidRDefault="00BF72A1" w:rsidP="003204E2">
      <w:pPr>
        <w:pStyle w:val="ECHRPara"/>
        <w:ind w:firstLine="0"/>
        <w:jc w:val="left"/>
        <w:rPr>
          <w:i/>
          <w:sz w:val="22"/>
          <w:lang w:val="fr-FR"/>
        </w:rPr>
      </w:pPr>
      <w:r w:rsidRPr="003204E2">
        <w:rPr>
          <w:i/>
          <w:sz w:val="22"/>
          <w:lang w:val="fr-FR"/>
        </w:rPr>
        <w:t>Cet arrêt deviendra définitif dans les conditions définies à l</w:t>
      </w:r>
      <w:r w:rsidR="003204E2" w:rsidRPr="003204E2">
        <w:rPr>
          <w:i/>
          <w:sz w:val="22"/>
          <w:lang w:val="fr-FR"/>
        </w:rPr>
        <w:t>’</w:t>
      </w:r>
      <w:r w:rsidRPr="003204E2">
        <w:rPr>
          <w:i/>
          <w:sz w:val="22"/>
          <w:lang w:val="fr-FR"/>
        </w:rPr>
        <w:t>article 44 § 2 de la Convention. Il peut subir des retouches de forme.</w:t>
      </w:r>
    </w:p>
    <w:p w:rsidR="00681DD3" w:rsidRPr="003204E2" w:rsidRDefault="00681DD3" w:rsidP="003204E2">
      <w:pPr>
        <w:jc w:val="center"/>
        <w:rPr>
          <w:szCs w:val="24"/>
          <w:lang w:val="fr-FR"/>
        </w:rPr>
      </w:pPr>
    </w:p>
    <w:p w:rsidR="00681DD3" w:rsidRPr="003204E2" w:rsidRDefault="00681DD3" w:rsidP="003204E2">
      <w:pPr>
        <w:pStyle w:val="JuCase"/>
        <w:rPr>
          <w:lang w:val="fr-FR"/>
        </w:rPr>
        <w:sectPr w:rsidR="00681DD3" w:rsidRPr="003204E2" w:rsidSect="00681DD3">
          <w:headerReference w:type="even" r:id="rId11"/>
          <w:headerReference w:type="default" r:id="rId12"/>
          <w:headerReference w:type="first" r:id="rId13"/>
          <w:footerReference w:type="first" r:id="rId14"/>
          <w:footnotePr>
            <w:numRestart w:val="eachSect"/>
          </w:footnotePr>
          <w:pgSz w:w="11906" w:h="16838" w:code="9"/>
          <w:pgMar w:top="2274" w:right="2274" w:bottom="2274" w:left="2274" w:header="1701" w:footer="720" w:gutter="0"/>
          <w:pgNumType w:start="1"/>
          <w:cols w:space="720"/>
          <w:titlePg/>
          <w:docGrid w:linePitch="326"/>
        </w:sectPr>
      </w:pPr>
    </w:p>
    <w:p w:rsidR="00E77CB3" w:rsidRPr="003204E2" w:rsidRDefault="00E77CB3" w:rsidP="003204E2">
      <w:pPr>
        <w:pStyle w:val="JuCase"/>
        <w:rPr>
          <w:lang w:val="fr-FR"/>
        </w:rPr>
      </w:pPr>
      <w:r w:rsidRPr="003204E2">
        <w:rPr>
          <w:lang w:val="fr-FR"/>
        </w:rPr>
        <w:lastRenderedPageBreak/>
        <w:t>En l</w:t>
      </w:r>
      <w:r w:rsidR="003204E2" w:rsidRPr="003204E2">
        <w:rPr>
          <w:lang w:val="fr-FR"/>
        </w:rPr>
        <w:t>’</w:t>
      </w:r>
      <w:r w:rsidRPr="003204E2">
        <w:rPr>
          <w:lang w:val="fr-FR"/>
        </w:rPr>
        <w:t xml:space="preserve">affaire </w:t>
      </w:r>
      <w:r w:rsidR="00443E37" w:rsidRPr="003204E2">
        <w:rPr>
          <w:lang w:val="fr-FR"/>
        </w:rPr>
        <w:t>Brambilla et autres c. Italie</w:t>
      </w:r>
      <w:r w:rsidRPr="003204E2">
        <w:rPr>
          <w:lang w:val="fr-FR"/>
        </w:rPr>
        <w:t>,</w:t>
      </w:r>
    </w:p>
    <w:p w:rsidR="00E77CB3" w:rsidRPr="003204E2" w:rsidRDefault="00E77CB3" w:rsidP="003204E2">
      <w:pPr>
        <w:pStyle w:val="ECHRPara"/>
        <w:rPr>
          <w:lang w:val="fr-FR"/>
        </w:rPr>
      </w:pPr>
      <w:r w:rsidRPr="003204E2">
        <w:rPr>
          <w:lang w:val="fr-FR"/>
        </w:rPr>
        <w:t>La Cour européenne des droits de l</w:t>
      </w:r>
      <w:r w:rsidR="003204E2" w:rsidRPr="003204E2">
        <w:rPr>
          <w:lang w:val="fr-FR"/>
        </w:rPr>
        <w:t>’</w:t>
      </w:r>
      <w:r w:rsidRPr="003204E2">
        <w:rPr>
          <w:lang w:val="fr-FR"/>
        </w:rPr>
        <w:t>homme (</w:t>
      </w:r>
      <w:r w:rsidR="00443E37" w:rsidRPr="003204E2">
        <w:rPr>
          <w:lang w:val="fr-FR"/>
        </w:rPr>
        <w:t>première section</w:t>
      </w:r>
      <w:r w:rsidRPr="003204E2">
        <w:rPr>
          <w:lang w:val="fr-FR"/>
        </w:rPr>
        <w:t xml:space="preserve">), siégeant en </w:t>
      </w:r>
      <w:r w:rsidR="00443E37" w:rsidRPr="003204E2">
        <w:rPr>
          <w:lang w:val="fr-FR"/>
        </w:rPr>
        <w:t>une chambre composée</w:t>
      </w:r>
      <w:r w:rsidRPr="003204E2">
        <w:rPr>
          <w:lang w:val="fr-FR"/>
        </w:rPr>
        <w:t xml:space="preserve"> de :</w:t>
      </w:r>
    </w:p>
    <w:p w:rsidR="00E77CB3" w:rsidRPr="003204E2" w:rsidRDefault="00681DD3" w:rsidP="003204E2">
      <w:pPr>
        <w:pStyle w:val="ECHRDecisionBody"/>
        <w:rPr>
          <w:lang w:val="fr-FR"/>
        </w:rPr>
      </w:pPr>
      <w:r w:rsidRPr="003204E2">
        <w:rPr>
          <w:lang w:val="fr-FR"/>
        </w:rPr>
        <w:tab/>
        <w:t>Mirjana Lazarova Trajkovska,</w:t>
      </w:r>
      <w:r w:rsidRPr="003204E2">
        <w:rPr>
          <w:i/>
          <w:lang w:val="fr-FR"/>
        </w:rPr>
        <w:t xml:space="preserve"> présidente,</w:t>
      </w:r>
      <w:r w:rsidRPr="003204E2">
        <w:rPr>
          <w:i/>
          <w:lang w:val="fr-FR"/>
        </w:rPr>
        <w:br/>
      </w:r>
      <w:r w:rsidRPr="003204E2">
        <w:rPr>
          <w:lang w:val="fr-FR"/>
        </w:rPr>
        <w:tab/>
        <w:t>Guido Raimondi,</w:t>
      </w:r>
      <w:r w:rsidRPr="003204E2">
        <w:rPr>
          <w:i/>
          <w:lang w:val="fr-FR"/>
        </w:rPr>
        <w:br/>
      </w:r>
      <w:r w:rsidRPr="003204E2">
        <w:rPr>
          <w:lang w:val="fr-FR"/>
        </w:rPr>
        <w:tab/>
        <w:t>Kristina Pardalos,</w:t>
      </w:r>
      <w:r w:rsidRPr="003204E2">
        <w:rPr>
          <w:i/>
          <w:lang w:val="fr-FR"/>
        </w:rPr>
        <w:br/>
      </w:r>
      <w:r w:rsidRPr="003204E2">
        <w:rPr>
          <w:lang w:val="fr-FR"/>
        </w:rPr>
        <w:tab/>
        <w:t>Linos-Alexandre Sicilianos,</w:t>
      </w:r>
      <w:r w:rsidRPr="003204E2">
        <w:rPr>
          <w:i/>
          <w:lang w:val="fr-FR"/>
        </w:rPr>
        <w:br/>
      </w:r>
      <w:r w:rsidRPr="003204E2">
        <w:rPr>
          <w:lang w:val="fr-FR"/>
        </w:rPr>
        <w:tab/>
        <w:t>Paul Mahoney,</w:t>
      </w:r>
      <w:r w:rsidRPr="003204E2">
        <w:rPr>
          <w:i/>
          <w:lang w:val="fr-FR"/>
        </w:rPr>
        <w:br/>
      </w:r>
      <w:r w:rsidRPr="003204E2">
        <w:rPr>
          <w:lang w:val="fr-FR"/>
        </w:rPr>
        <w:tab/>
        <w:t>Aleš Pejchal,</w:t>
      </w:r>
      <w:r w:rsidRPr="003204E2">
        <w:rPr>
          <w:i/>
          <w:lang w:val="fr-FR"/>
        </w:rPr>
        <w:br/>
      </w:r>
      <w:r w:rsidRPr="003204E2">
        <w:rPr>
          <w:lang w:val="fr-FR"/>
        </w:rPr>
        <w:tab/>
        <w:t>Robert Spano,</w:t>
      </w:r>
      <w:r w:rsidRPr="003204E2">
        <w:rPr>
          <w:i/>
          <w:lang w:val="fr-FR"/>
        </w:rPr>
        <w:t xml:space="preserve"> juges,</w:t>
      </w:r>
      <w:r w:rsidRPr="003204E2">
        <w:rPr>
          <w:i/>
          <w:lang w:val="fr-FR"/>
        </w:rPr>
        <w:br/>
      </w:r>
      <w:r w:rsidR="00E77CB3" w:rsidRPr="003204E2">
        <w:rPr>
          <w:lang w:val="fr-FR"/>
        </w:rPr>
        <w:t xml:space="preserve">et de </w:t>
      </w:r>
      <w:r w:rsidR="00402F33" w:rsidRPr="003204E2">
        <w:rPr>
          <w:lang w:val="fr-FR"/>
        </w:rPr>
        <w:t>A</w:t>
      </w:r>
      <w:r w:rsidR="00C82862" w:rsidRPr="003204E2">
        <w:rPr>
          <w:lang w:val="fr-FR"/>
        </w:rPr>
        <w:t>bel</w:t>
      </w:r>
      <w:r w:rsidR="00402F33" w:rsidRPr="003204E2">
        <w:rPr>
          <w:lang w:val="fr-FR"/>
        </w:rPr>
        <w:t xml:space="preserve"> </w:t>
      </w:r>
      <w:r w:rsidRPr="003204E2">
        <w:rPr>
          <w:lang w:val="fr-FR"/>
        </w:rPr>
        <w:t>Campos</w:t>
      </w:r>
      <w:r w:rsidR="00E77CB3" w:rsidRPr="003204E2">
        <w:rPr>
          <w:lang w:val="fr-FR"/>
        </w:rPr>
        <w:t xml:space="preserve">, </w:t>
      </w:r>
      <w:r w:rsidR="00443E37" w:rsidRPr="003204E2">
        <w:rPr>
          <w:i/>
          <w:lang w:val="fr-FR"/>
        </w:rPr>
        <w:t>greffi</w:t>
      </w:r>
      <w:r w:rsidR="00402F33" w:rsidRPr="003204E2">
        <w:rPr>
          <w:i/>
          <w:lang w:val="fr-FR"/>
        </w:rPr>
        <w:t>er</w:t>
      </w:r>
      <w:r w:rsidR="00443E37" w:rsidRPr="003204E2">
        <w:rPr>
          <w:iCs/>
          <w:lang w:val="fr-FR"/>
        </w:rPr>
        <w:t xml:space="preserve"> </w:t>
      </w:r>
      <w:r w:rsidR="00443E37" w:rsidRPr="003204E2">
        <w:rPr>
          <w:i/>
          <w:iCs/>
          <w:lang w:val="fr-FR"/>
        </w:rPr>
        <w:t>d</w:t>
      </w:r>
      <w:r w:rsidR="00443E37" w:rsidRPr="003204E2">
        <w:rPr>
          <w:i/>
          <w:lang w:val="fr-FR"/>
        </w:rPr>
        <w:t>e section</w:t>
      </w:r>
      <w:r w:rsidR="00E77CB3" w:rsidRPr="003204E2">
        <w:rPr>
          <w:lang w:val="fr-FR"/>
        </w:rPr>
        <w:t>,</w:t>
      </w:r>
    </w:p>
    <w:p w:rsidR="00E77CB3" w:rsidRPr="003204E2" w:rsidRDefault="00E77CB3" w:rsidP="003204E2">
      <w:pPr>
        <w:pStyle w:val="ECHRPara"/>
        <w:rPr>
          <w:lang w:val="fr-FR"/>
        </w:rPr>
      </w:pPr>
      <w:r w:rsidRPr="003204E2">
        <w:rPr>
          <w:lang w:val="fr-FR"/>
        </w:rPr>
        <w:t xml:space="preserve">Après en avoir délibéré en chambre du conseil le </w:t>
      </w:r>
      <w:r w:rsidR="00761E38" w:rsidRPr="003204E2">
        <w:rPr>
          <w:lang w:val="fr-FR"/>
        </w:rPr>
        <w:t>31 mai 2016</w:t>
      </w:r>
      <w:r w:rsidRPr="003204E2">
        <w:rPr>
          <w:lang w:val="fr-FR"/>
        </w:rPr>
        <w:t>,</w:t>
      </w:r>
    </w:p>
    <w:p w:rsidR="00E77CB3" w:rsidRPr="003204E2" w:rsidRDefault="00E77CB3" w:rsidP="003204E2">
      <w:pPr>
        <w:pStyle w:val="ECHRPara"/>
        <w:rPr>
          <w:lang w:val="fr-FR"/>
        </w:rPr>
      </w:pPr>
      <w:r w:rsidRPr="003204E2">
        <w:rPr>
          <w:lang w:val="fr-FR"/>
        </w:rPr>
        <w:t>Rend l</w:t>
      </w:r>
      <w:r w:rsidR="003204E2" w:rsidRPr="003204E2">
        <w:rPr>
          <w:lang w:val="fr-FR"/>
        </w:rPr>
        <w:t>’</w:t>
      </w:r>
      <w:r w:rsidRPr="003204E2">
        <w:rPr>
          <w:lang w:val="fr-FR"/>
        </w:rPr>
        <w:t>arrêt que voici, adopté à cette date :</w:t>
      </w:r>
    </w:p>
    <w:p w:rsidR="00E77CB3" w:rsidRPr="003204E2" w:rsidRDefault="00E77CB3" w:rsidP="003204E2">
      <w:pPr>
        <w:pStyle w:val="ECHRTitle1"/>
        <w:rPr>
          <w:lang w:val="fr-FR"/>
        </w:rPr>
      </w:pPr>
      <w:r w:rsidRPr="003204E2">
        <w:rPr>
          <w:lang w:val="fr-FR"/>
        </w:rPr>
        <w:t>PROCÉDURE</w:t>
      </w:r>
    </w:p>
    <w:p w:rsidR="00E77CB3" w:rsidRPr="003204E2" w:rsidRDefault="00443E37"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1</w:t>
      </w:r>
      <w:r w:rsidRPr="003204E2">
        <w:rPr>
          <w:lang w:val="fr-FR"/>
        </w:rPr>
        <w:fldChar w:fldCharType="end"/>
      </w:r>
      <w:r w:rsidR="00E77CB3" w:rsidRPr="003204E2">
        <w:rPr>
          <w:lang w:val="fr-FR"/>
        </w:rPr>
        <w:t>.  À l</w:t>
      </w:r>
      <w:r w:rsidR="003204E2" w:rsidRPr="003204E2">
        <w:rPr>
          <w:lang w:val="fr-FR"/>
        </w:rPr>
        <w:t>’</w:t>
      </w:r>
      <w:r w:rsidR="00E77CB3" w:rsidRPr="003204E2">
        <w:rPr>
          <w:lang w:val="fr-FR"/>
        </w:rPr>
        <w:t>origine de l</w:t>
      </w:r>
      <w:r w:rsidR="003204E2" w:rsidRPr="003204E2">
        <w:rPr>
          <w:lang w:val="fr-FR"/>
        </w:rPr>
        <w:t>’</w:t>
      </w:r>
      <w:r w:rsidR="00E77CB3" w:rsidRPr="003204E2">
        <w:rPr>
          <w:lang w:val="fr-FR"/>
        </w:rPr>
        <w:t xml:space="preserve">affaire </w:t>
      </w:r>
      <w:r w:rsidRPr="003204E2">
        <w:rPr>
          <w:lang w:val="fr-FR"/>
        </w:rPr>
        <w:t>se trouve une requête (n</w:t>
      </w:r>
      <w:r w:rsidR="00681DD3" w:rsidRPr="003204E2">
        <w:rPr>
          <w:vertAlign w:val="superscript"/>
          <w:lang w:val="fr-FR"/>
        </w:rPr>
        <w:t>o</w:t>
      </w:r>
      <w:r w:rsidRPr="003204E2">
        <w:rPr>
          <w:lang w:val="fr-FR"/>
        </w:rPr>
        <w:t xml:space="preserve"> 22567/09) dirigée</w:t>
      </w:r>
      <w:r w:rsidR="00E77CB3" w:rsidRPr="003204E2">
        <w:rPr>
          <w:lang w:val="fr-FR"/>
        </w:rPr>
        <w:t xml:space="preserve"> contre </w:t>
      </w:r>
      <w:r w:rsidRPr="003204E2">
        <w:rPr>
          <w:lang w:val="fr-FR"/>
        </w:rPr>
        <w:t>la République italienne</w:t>
      </w:r>
      <w:r w:rsidR="00E77CB3" w:rsidRPr="003204E2">
        <w:rPr>
          <w:lang w:val="fr-FR"/>
        </w:rPr>
        <w:t xml:space="preserve"> et dont </w:t>
      </w:r>
      <w:r w:rsidR="00EA6B8F" w:rsidRPr="003204E2">
        <w:rPr>
          <w:lang w:val="fr-FR"/>
        </w:rPr>
        <w:t>trois</w:t>
      </w:r>
      <w:r w:rsidRPr="003204E2">
        <w:rPr>
          <w:lang w:val="fr-FR"/>
        </w:rPr>
        <w:t xml:space="preserve"> ressortissants de cet État, </w:t>
      </w:r>
      <w:r w:rsidR="00FA703B" w:rsidRPr="003204E2">
        <w:rPr>
          <w:lang w:val="fr-FR"/>
        </w:rPr>
        <w:t>MM.</w:t>
      </w:r>
      <w:r w:rsidR="00272907" w:rsidRPr="003204E2">
        <w:rPr>
          <w:lang w:val="fr-FR"/>
        </w:rPr>
        <w:t> </w:t>
      </w:r>
      <w:r w:rsidR="00FA703B" w:rsidRPr="003204E2">
        <w:rPr>
          <w:szCs w:val="24"/>
          <w:lang w:val="fr-FR"/>
        </w:rPr>
        <w:t>C. Brambilla</w:t>
      </w:r>
      <w:r w:rsidR="00FA703B" w:rsidRPr="003204E2">
        <w:rPr>
          <w:lang w:val="fr-FR"/>
        </w:rPr>
        <w:t xml:space="preserve">, </w:t>
      </w:r>
      <w:r w:rsidR="00FA703B" w:rsidRPr="003204E2">
        <w:rPr>
          <w:szCs w:val="24"/>
          <w:lang w:val="fr-FR"/>
        </w:rPr>
        <w:t xml:space="preserve">D. De Salvo et F. Alfano </w:t>
      </w:r>
      <w:r w:rsidRPr="003204E2">
        <w:rPr>
          <w:lang w:val="fr-FR"/>
        </w:rPr>
        <w:t>(« les requérants »), ont saisi la Cour le 21</w:t>
      </w:r>
      <w:r w:rsidR="005E499F" w:rsidRPr="003204E2">
        <w:rPr>
          <w:lang w:val="fr-FR"/>
        </w:rPr>
        <w:t> </w:t>
      </w:r>
      <w:r w:rsidRPr="003204E2">
        <w:rPr>
          <w:lang w:val="fr-FR"/>
        </w:rPr>
        <w:t>avril 2009</w:t>
      </w:r>
      <w:r w:rsidR="00E77CB3" w:rsidRPr="003204E2">
        <w:rPr>
          <w:lang w:val="fr-FR"/>
        </w:rPr>
        <w:t xml:space="preserve"> en vertu de </w:t>
      </w:r>
      <w:r w:rsidRPr="003204E2">
        <w:rPr>
          <w:lang w:val="fr-FR"/>
        </w:rPr>
        <w:t>l</w:t>
      </w:r>
      <w:r w:rsidR="003204E2" w:rsidRPr="003204E2">
        <w:rPr>
          <w:lang w:val="fr-FR"/>
        </w:rPr>
        <w:t>’</w:t>
      </w:r>
      <w:r w:rsidRPr="003204E2">
        <w:rPr>
          <w:lang w:val="fr-FR"/>
        </w:rPr>
        <w:t>article 34</w:t>
      </w:r>
      <w:r w:rsidR="00E77CB3" w:rsidRPr="003204E2">
        <w:rPr>
          <w:lang w:val="fr-FR"/>
        </w:rPr>
        <w:t xml:space="preserve"> de la Convention de sauvegarde des droits de l</w:t>
      </w:r>
      <w:r w:rsidR="003204E2" w:rsidRPr="003204E2">
        <w:rPr>
          <w:lang w:val="fr-FR"/>
        </w:rPr>
        <w:t>’</w:t>
      </w:r>
      <w:r w:rsidR="00E77CB3" w:rsidRPr="003204E2">
        <w:rPr>
          <w:lang w:val="fr-FR"/>
        </w:rPr>
        <w:t>homme et des libertés fondamentales (« la Convention »).</w:t>
      </w:r>
    </w:p>
    <w:p w:rsidR="003204E2" w:rsidRPr="003204E2" w:rsidRDefault="00443E37"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2</w:t>
      </w:r>
      <w:r w:rsidRPr="003204E2">
        <w:rPr>
          <w:lang w:val="fr-FR"/>
        </w:rPr>
        <w:fldChar w:fldCharType="end"/>
      </w:r>
      <w:r w:rsidR="00E77CB3" w:rsidRPr="003204E2">
        <w:rPr>
          <w:lang w:val="fr-FR"/>
        </w:rPr>
        <w:t>.  </w:t>
      </w:r>
      <w:r w:rsidRPr="003204E2">
        <w:rPr>
          <w:lang w:val="fr-FR"/>
        </w:rPr>
        <w:t xml:space="preserve">Les requérants ont été représentés par </w:t>
      </w:r>
      <w:r w:rsidR="00CA58FC" w:rsidRPr="003204E2">
        <w:rPr>
          <w:szCs w:val="24"/>
          <w:lang w:val="fr-FR"/>
        </w:rPr>
        <w:t>M</w:t>
      </w:r>
      <w:r w:rsidR="00CA58FC" w:rsidRPr="003204E2">
        <w:rPr>
          <w:szCs w:val="24"/>
          <w:vertAlign w:val="superscript"/>
          <w:lang w:val="fr-FR"/>
        </w:rPr>
        <w:t>es</w:t>
      </w:r>
      <w:r w:rsidR="00CA58FC" w:rsidRPr="003204E2">
        <w:rPr>
          <w:szCs w:val="24"/>
          <w:lang w:val="fr-FR"/>
        </w:rPr>
        <w:t xml:space="preserve"> C. Melzi D</w:t>
      </w:r>
      <w:r w:rsidR="003204E2" w:rsidRPr="003204E2">
        <w:rPr>
          <w:szCs w:val="24"/>
          <w:lang w:val="fr-FR"/>
        </w:rPr>
        <w:t>’</w:t>
      </w:r>
      <w:r w:rsidR="00CA58FC" w:rsidRPr="003204E2">
        <w:rPr>
          <w:szCs w:val="24"/>
          <w:lang w:val="fr-FR"/>
        </w:rPr>
        <w:t xml:space="preserve">Eril et </w:t>
      </w:r>
      <w:r w:rsidR="00CA58FC" w:rsidRPr="003204E2">
        <w:rPr>
          <w:lang w:val="fr-FR"/>
        </w:rPr>
        <w:t>G.</w:t>
      </w:r>
      <w:r w:rsidR="00402F33" w:rsidRPr="003204E2">
        <w:rPr>
          <w:lang w:val="fr-FR"/>
        </w:rPr>
        <w:t> </w:t>
      </w:r>
      <w:r w:rsidR="00CA58FC" w:rsidRPr="003204E2">
        <w:rPr>
          <w:lang w:val="fr-FR"/>
        </w:rPr>
        <w:t>E.</w:t>
      </w:r>
      <w:r w:rsidR="00640DCD" w:rsidRPr="003204E2">
        <w:rPr>
          <w:lang w:val="fr-FR"/>
        </w:rPr>
        <w:t> </w:t>
      </w:r>
      <w:r w:rsidR="00CA58FC" w:rsidRPr="003204E2">
        <w:rPr>
          <w:lang w:val="fr-FR"/>
        </w:rPr>
        <w:t>Vigevani</w:t>
      </w:r>
      <w:r w:rsidRPr="003204E2">
        <w:rPr>
          <w:lang w:val="fr-FR"/>
        </w:rPr>
        <w:t>, avocat</w:t>
      </w:r>
      <w:r w:rsidR="00CA58FC" w:rsidRPr="003204E2">
        <w:rPr>
          <w:lang w:val="fr-FR"/>
        </w:rPr>
        <w:t>s</w:t>
      </w:r>
      <w:r w:rsidRPr="003204E2">
        <w:rPr>
          <w:lang w:val="fr-FR"/>
        </w:rPr>
        <w:t xml:space="preserve"> à Milan. </w:t>
      </w:r>
      <w:r w:rsidR="00E77CB3" w:rsidRPr="003204E2">
        <w:rPr>
          <w:lang w:val="fr-FR"/>
        </w:rPr>
        <w:t xml:space="preserve">Le gouvernement </w:t>
      </w:r>
      <w:r w:rsidRPr="003204E2">
        <w:rPr>
          <w:lang w:val="fr-FR"/>
        </w:rPr>
        <w:t>italien</w:t>
      </w:r>
      <w:r w:rsidR="00E77CB3" w:rsidRPr="003204E2">
        <w:rPr>
          <w:lang w:val="fr-FR"/>
        </w:rPr>
        <w:t xml:space="preserve"> (« le Gouvernement ») a été représenté par son agent</w:t>
      </w:r>
      <w:r w:rsidR="00640DCD" w:rsidRPr="003204E2">
        <w:rPr>
          <w:lang w:val="fr-FR"/>
        </w:rPr>
        <w:t>e</w:t>
      </w:r>
      <w:r w:rsidR="00E77CB3" w:rsidRPr="003204E2">
        <w:rPr>
          <w:lang w:val="fr-FR"/>
        </w:rPr>
        <w:t xml:space="preserve">, </w:t>
      </w:r>
      <w:r w:rsidR="00596F2E" w:rsidRPr="003204E2">
        <w:rPr>
          <w:lang w:val="fr-FR"/>
        </w:rPr>
        <w:t>M</w:t>
      </w:r>
      <w:r w:rsidR="00596F2E" w:rsidRPr="003204E2">
        <w:rPr>
          <w:vertAlign w:val="superscript"/>
          <w:lang w:val="fr-FR"/>
        </w:rPr>
        <w:t>me</w:t>
      </w:r>
      <w:r w:rsidR="00596F2E" w:rsidRPr="003204E2">
        <w:rPr>
          <w:lang w:val="fr-FR"/>
        </w:rPr>
        <w:t xml:space="preserve"> E. Spatafora, ainsi que par sa coagente, M</w:t>
      </w:r>
      <w:r w:rsidR="00596F2E" w:rsidRPr="003204E2">
        <w:rPr>
          <w:vertAlign w:val="superscript"/>
          <w:lang w:val="fr-FR"/>
        </w:rPr>
        <w:t>me</w:t>
      </w:r>
      <w:r w:rsidR="00596F2E" w:rsidRPr="003204E2">
        <w:rPr>
          <w:lang w:val="fr-FR"/>
        </w:rPr>
        <w:t xml:space="preserve"> P. Accardo</w:t>
      </w:r>
      <w:r w:rsidR="00E77CB3" w:rsidRPr="003204E2">
        <w:rPr>
          <w:lang w:val="fr-FR"/>
        </w:rPr>
        <w:t>.</w:t>
      </w:r>
    </w:p>
    <w:p w:rsidR="00E77CB3" w:rsidRPr="003204E2" w:rsidRDefault="00443E37"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3</w:t>
      </w:r>
      <w:r w:rsidRPr="003204E2">
        <w:rPr>
          <w:lang w:val="fr-FR"/>
        </w:rPr>
        <w:fldChar w:fldCharType="end"/>
      </w:r>
      <w:r w:rsidRPr="003204E2">
        <w:rPr>
          <w:lang w:val="fr-FR"/>
        </w:rPr>
        <w:t xml:space="preserve">.  Les requérants </w:t>
      </w:r>
      <w:r w:rsidR="00596F2E" w:rsidRPr="003204E2">
        <w:rPr>
          <w:lang w:val="fr-FR"/>
        </w:rPr>
        <w:t>allèguent</w:t>
      </w:r>
      <w:r w:rsidRPr="003204E2">
        <w:rPr>
          <w:lang w:val="fr-FR"/>
        </w:rPr>
        <w:t xml:space="preserve"> </w:t>
      </w:r>
      <w:r w:rsidR="00596F2E" w:rsidRPr="003204E2">
        <w:rPr>
          <w:lang w:val="fr-FR"/>
        </w:rPr>
        <w:t xml:space="preserve">que les mesures prises à leur encontre </w:t>
      </w:r>
      <w:r w:rsidR="00431A10" w:rsidRPr="003204E2">
        <w:rPr>
          <w:lang w:val="fr-FR"/>
        </w:rPr>
        <w:t xml:space="preserve">à savoir, la perquisition de leur véhicule et de leur bureau de rédaction, la saisie de leurs appareils radiophoniques et leur condamnation, </w:t>
      </w:r>
      <w:r w:rsidR="00B1345B" w:rsidRPr="003204E2">
        <w:rPr>
          <w:lang w:val="fr-FR"/>
        </w:rPr>
        <w:t>ont</w:t>
      </w:r>
      <w:r w:rsidR="00596F2E" w:rsidRPr="003204E2">
        <w:rPr>
          <w:lang w:val="fr-FR"/>
        </w:rPr>
        <w:t xml:space="preserve"> </w:t>
      </w:r>
      <w:r w:rsidR="00B1345B" w:rsidRPr="003204E2">
        <w:rPr>
          <w:lang w:val="fr-FR"/>
        </w:rPr>
        <w:t>constitué</w:t>
      </w:r>
      <w:r w:rsidR="00596F2E" w:rsidRPr="003204E2">
        <w:rPr>
          <w:lang w:val="fr-FR"/>
        </w:rPr>
        <w:t xml:space="preserve"> une ingérence disproportionnée dans leur liberté d</w:t>
      </w:r>
      <w:r w:rsidR="003204E2" w:rsidRPr="003204E2">
        <w:rPr>
          <w:lang w:val="fr-FR"/>
        </w:rPr>
        <w:t>’</w:t>
      </w:r>
      <w:r w:rsidR="00596F2E" w:rsidRPr="003204E2">
        <w:rPr>
          <w:lang w:val="fr-FR"/>
        </w:rPr>
        <w:t>expression</w:t>
      </w:r>
      <w:r w:rsidR="00B1345B" w:rsidRPr="003204E2">
        <w:rPr>
          <w:lang w:val="fr-FR"/>
        </w:rPr>
        <w:t xml:space="preserve"> protégée par l</w:t>
      </w:r>
      <w:r w:rsidR="003204E2" w:rsidRPr="003204E2">
        <w:rPr>
          <w:lang w:val="fr-FR"/>
        </w:rPr>
        <w:t>’</w:t>
      </w:r>
      <w:r w:rsidR="00B1345B" w:rsidRPr="003204E2">
        <w:rPr>
          <w:lang w:val="fr-FR"/>
        </w:rPr>
        <w:t>article 10 de la Convention</w:t>
      </w:r>
      <w:r w:rsidR="007D63C1" w:rsidRPr="003204E2">
        <w:rPr>
          <w:lang w:val="fr-FR"/>
        </w:rPr>
        <w:t>, compte tenu notamment du fait qu</w:t>
      </w:r>
      <w:r w:rsidR="003204E2" w:rsidRPr="003204E2">
        <w:rPr>
          <w:lang w:val="fr-FR"/>
        </w:rPr>
        <w:t>’</w:t>
      </w:r>
      <w:r w:rsidR="007D63C1" w:rsidRPr="003204E2">
        <w:rPr>
          <w:lang w:val="fr-FR"/>
        </w:rPr>
        <w:t>ils ont agi dans l</w:t>
      </w:r>
      <w:r w:rsidR="003204E2" w:rsidRPr="003204E2">
        <w:rPr>
          <w:lang w:val="fr-FR"/>
        </w:rPr>
        <w:t>’</w:t>
      </w:r>
      <w:r w:rsidR="007D63C1" w:rsidRPr="003204E2">
        <w:rPr>
          <w:lang w:val="fr-FR"/>
        </w:rPr>
        <w:t>exercice de leur profession de journalistes</w:t>
      </w:r>
      <w:r w:rsidRPr="003204E2">
        <w:rPr>
          <w:lang w:val="fr-FR"/>
        </w:rPr>
        <w:t>.</w:t>
      </w:r>
    </w:p>
    <w:p w:rsidR="00E77CB3" w:rsidRPr="003204E2" w:rsidRDefault="00443E37" w:rsidP="003204E2">
      <w:pPr>
        <w:pStyle w:val="ECHRPara"/>
        <w:rPr>
          <w:szCs w:val="24"/>
          <w:lang w:val="fr-FR" w:eastAsia="en-GB"/>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4</w:t>
      </w:r>
      <w:r w:rsidRPr="003204E2">
        <w:rPr>
          <w:lang w:val="fr-FR"/>
        </w:rPr>
        <w:fldChar w:fldCharType="end"/>
      </w:r>
      <w:r w:rsidR="00E77CB3" w:rsidRPr="003204E2">
        <w:rPr>
          <w:lang w:val="fr-FR"/>
        </w:rPr>
        <w:t>.  </w:t>
      </w:r>
      <w:r w:rsidRPr="003204E2">
        <w:rPr>
          <w:lang w:val="fr-FR"/>
        </w:rPr>
        <w:t xml:space="preserve">Le </w:t>
      </w:r>
      <w:r w:rsidRPr="003204E2">
        <w:rPr>
          <w:szCs w:val="24"/>
          <w:lang w:val="fr-FR"/>
        </w:rPr>
        <w:t>7 novembre 2013</w:t>
      </w:r>
      <w:r w:rsidR="00E77CB3" w:rsidRPr="003204E2">
        <w:rPr>
          <w:lang w:val="fr-FR"/>
        </w:rPr>
        <w:t xml:space="preserve">, </w:t>
      </w:r>
      <w:r w:rsidRPr="003204E2">
        <w:rPr>
          <w:lang w:val="fr-FR"/>
        </w:rPr>
        <w:t>la requête a été communiquée au Gouvernement</w:t>
      </w:r>
      <w:r w:rsidR="00C1262B" w:rsidRPr="003204E2">
        <w:rPr>
          <w:lang w:val="fr-FR"/>
        </w:rPr>
        <w:t>.</w:t>
      </w:r>
    </w:p>
    <w:p w:rsidR="00E77CB3" w:rsidRPr="003204E2" w:rsidRDefault="00E77CB3" w:rsidP="003204E2">
      <w:pPr>
        <w:pStyle w:val="ECHRTitle1"/>
        <w:tabs>
          <w:tab w:val="left" w:pos="5387"/>
        </w:tabs>
        <w:rPr>
          <w:lang w:val="fr-FR"/>
        </w:rPr>
      </w:pPr>
      <w:r w:rsidRPr="003204E2">
        <w:rPr>
          <w:lang w:val="fr-FR"/>
        </w:rPr>
        <w:t>EN FAIT</w:t>
      </w:r>
    </w:p>
    <w:p w:rsidR="00E77CB3" w:rsidRPr="003204E2" w:rsidRDefault="00E77CB3" w:rsidP="003204E2">
      <w:pPr>
        <w:pStyle w:val="ECHRHeading1"/>
        <w:rPr>
          <w:lang w:val="fr-FR"/>
        </w:rPr>
      </w:pPr>
      <w:r w:rsidRPr="003204E2">
        <w:rPr>
          <w:lang w:val="fr-FR"/>
        </w:rPr>
        <w:t>I.  LES CIRCONSTANCES DE L</w:t>
      </w:r>
      <w:r w:rsidR="003204E2" w:rsidRPr="003204E2">
        <w:rPr>
          <w:lang w:val="fr-FR"/>
        </w:rPr>
        <w:t>’</w:t>
      </w:r>
      <w:r w:rsidRPr="003204E2">
        <w:rPr>
          <w:lang w:val="fr-FR"/>
        </w:rPr>
        <w:t>ESPÈCE</w:t>
      </w:r>
    </w:p>
    <w:p w:rsidR="00E77CB3" w:rsidRPr="003204E2" w:rsidRDefault="00443E37"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5</w:t>
      </w:r>
      <w:r w:rsidRPr="003204E2">
        <w:rPr>
          <w:lang w:val="fr-FR"/>
        </w:rPr>
        <w:fldChar w:fldCharType="end"/>
      </w:r>
      <w:r w:rsidR="00E77CB3" w:rsidRPr="003204E2">
        <w:rPr>
          <w:lang w:val="fr-FR"/>
        </w:rPr>
        <w:t>.  </w:t>
      </w:r>
      <w:r w:rsidRPr="003204E2">
        <w:rPr>
          <w:lang w:val="fr-FR"/>
        </w:rPr>
        <w:t>Les requérants sont nés respectivement en 1954</w:t>
      </w:r>
      <w:r w:rsidR="002B171C" w:rsidRPr="003204E2">
        <w:rPr>
          <w:lang w:val="fr-FR"/>
        </w:rPr>
        <w:t>, 1976 et 1971</w:t>
      </w:r>
      <w:r w:rsidRPr="003204E2">
        <w:rPr>
          <w:lang w:val="fr-FR"/>
        </w:rPr>
        <w:t xml:space="preserve"> et résident à </w:t>
      </w:r>
      <w:r w:rsidR="00C564E8" w:rsidRPr="003204E2">
        <w:rPr>
          <w:lang w:val="fr-FR"/>
        </w:rPr>
        <w:t>Lecco</w:t>
      </w:r>
      <w:r w:rsidR="00E77CB3" w:rsidRPr="003204E2">
        <w:rPr>
          <w:lang w:val="fr-FR"/>
        </w:rPr>
        <w:t>.</w:t>
      </w:r>
    </w:p>
    <w:p w:rsidR="002B171C" w:rsidRPr="003204E2" w:rsidRDefault="00DA0308" w:rsidP="003204E2">
      <w:pPr>
        <w:pStyle w:val="ECHRPara"/>
        <w:rPr>
          <w:lang w:val="fr-FR"/>
        </w:rPr>
      </w:pPr>
      <w:r w:rsidRPr="003204E2">
        <w:rPr>
          <w:lang w:val="fr-FR"/>
        </w:rPr>
        <w:lastRenderedPageBreak/>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6</w:t>
      </w:r>
      <w:r w:rsidRPr="003204E2">
        <w:rPr>
          <w:lang w:val="fr-FR"/>
        </w:rPr>
        <w:fldChar w:fldCharType="end"/>
      </w:r>
      <w:r w:rsidRPr="003204E2">
        <w:rPr>
          <w:lang w:val="fr-FR"/>
        </w:rPr>
        <w:t>.  </w:t>
      </w:r>
      <w:r w:rsidR="002B171C" w:rsidRPr="003204E2">
        <w:rPr>
          <w:lang w:val="fr-FR"/>
        </w:rPr>
        <w:t>Le premier requérant est le directeur d</w:t>
      </w:r>
      <w:r w:rsidR="003204E2" w:rsidRPr="003204E2">
        <w:rPr>
          <w:lang w:val="fr-FR"/>
        </w:rPr>
        <w:t>’</w:t>
      </w:r>
      <w:r w:rsidR="002B171C" w:rsidRPr="003204E2">
        <w:rPr>
          <w:lang w:val="fr-FR"/>
        </w:rPr>
        <w:t>un journal en ligne</w:t>
      </w:r>
      <w:r w:rsidR="00552852" w:rsidRPr="003204E2">
        <w:rPr>
          <w:lang w:val="fr-FR"/>
        </w:rPr>
        <w:t xml:space="preserve"> local</w:t>
      </w:r>
      <w:r w:rsidR="002B171C" w:rsidRPr="003204E2">
        <w:rPr>
          <w:lang w:val="fr-FR"/>
        </w:rPr>
        <w:t xml:space="preserve"> dans la province de Lecco. Les deux autres requérants sont des journalistes travaillant pour ce journal.</w:t>
      </w:r>
    </w:p>
    <w:p w:rsidR="003204E2"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7</w:t>
      </w:r>
      <w:r w:rsidRPr="003204E2">
        <w:rPr>
          <w:lang w:val="fr-FR"/>
        </w:rPr>
        <w:fldChar w:fldCharType="end"/>
      </w:r>
      <w:r w:rsidRPr="003204E2">
        <w:rPr>
          <w:lang w:val="fr-FR"/>
        </w:rPr>
        <w:t>.  Dans l</w:t>
      </w:r>
      <w:r w:rsidR="003204E2" w:rsidRPr="003204E2">
        <w:rPr>
          <w:lang w:val="fr-FR"/>
        </w:rPr>
        <w:t>’</w:t>
      </w:r>
      <w:r w:rsidRPr="003204E2">
        <w:rPr>
          <w:lang w:val="fr-FR"/>
        </w:rPr>
        <w:t>exercice de leur activité, les requérants utilisaient des appareils radiophoniques accédant à des fréquences utilisées par la police ou la gendarmerie. Ainsi, ils prenaient connaissance des communications transmises, dans le but de se rendre rapidement sur les lieux de</w:t>
      </w:r>
      <w:r w:rsidR="006266ED" w:rsidRPr="003204E2">
        <w:rPr>
          <w:lang w:val="fr-FR"/>
        </w:rPr>
        <w:t>s</w:t>
      </w:r>
      <w:r w:rsidRPr="003204E2">
        <w:rPr>
          <w:lang w:val="fr-FR"/>
        </w:rPr>
        <w:t xml:space="preserve"> faits qu</w:t>
      </w:r>
      <w:r w:rsidR="003204E2" w:rsidRPr="003204E2">
        <w:rPr>
          <w:lang w:val="fr-FR"/>
        </w:rPr>
        <w:t>’</w:t>
      </w:r>
      <w:r w:rsidRPr="003204E2">
        <w:rPr>
          <w:lang w:val="fr-FR"/>
        </w:rPr>
        <w:t>ils souhaitaient relater dans des articles de presse.</w:t>
      </w:r>
    </w:p>
    <w:p w:rsidR="002B171C"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8</w:t>
      </w:r>
      <w:r w:rsidRPr="003204E2">
        <w:rPr>
          <w:lang w:val="fr-FR"/>
        </w:rPr>
        <w:fldChar w:fldCharType="end"/>
      </w:r>
      <w:r w:rsidRPr="003204E2">
        <w:rPr>
          <w:lang w:val="fr-FR"/>
        </w:rPr>
        <w:t>.  Le 1</w:t>
      </w:r>
      <w:r w:rsidRPr="003204E2">
        <w:rPr>
          <w:vertAlign w:val="superscript"/>
          <w:lang w:val="fr-FR"/>
        </w:rPr>
        <w:t>er</w:t>
      </w:r>
      <w:r w:rsidRPr="003204E2">
        <w:rPr>
          <w:lang w:val="fr-FR"/>
        </w:rPr>
        <w:t xml:space="preserve"> août 2002, les requérants écoutèrent une conversation au cours de laquelle le centre opérationnel de la gendarmerie de Merate décidait d</w:t>
      </w:r>
      <w:r w:rsidR="003204E2" w:rsidRPr="003204E2">
        <w:rPr>
          <w:lang w:val="fr-FR"/>
        </w:rPr>
        <w:t>’</w:t>
      </w:r>
      <w:r w:rsidRPr="003204E2">
        <w:rPr>
          <w:lang w:val="fr-FR"/>
        </w:rPr>
        <w:t>envoyer une patrouille sur un lieu où, selon des informations anonymes, des armes avaient été stockées illégalement.</w:t>
      </w:r>
    </w:p>
    <w:p w:rsidR="002B171C"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9</w:t>
      </w:r>
      <w:r w:rsidRPr="003204E2">
        <w:rPr>
          <w:lang w:val="fr-FR"/>
        </w:rPr>
        <w:fldChar w:fldCharType="end"/>
      </w:r>
      <w:r w:rsidRPr="003204E2">
        <w:rPr>
          <w:lang w:val="fr-FR"/>
        </w:rPr>
        <w:t>.  La gendarmerie se rendit donc sur le lieu incriminé et, dans l</w:t>
      </w:r>
      <w:r w:rsidR="003204E2" w:rsidRPr="003204E2">
        <w:rPr>
          <w:lang w:val="fr-FR"/>
        </w:rPr>
        <w:t>’</w:t>
      </w:r>
      <w:r w:rsidRPr="003204E2">
        <w:rPr>
          <w:lang w:val="fr-FR"/>
        </w:rPr>
        <w:t>immédiat, le deuxième et troisième requérants arrivèrent sur place.</w:t>
      </w:r>
    </w:p>
    <w:p w:rsidR="002B171C"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10</w:t>
      </w:r>
      <w:r w:rsidRPr="003204E2">
        <w:rPr>
          <w:lang w:val="fr-FR"/>
        </w:rPr>
        <w:fldChar w:fldCharType="end"/>
      </w:r>
      <w:r w:rsidRPr="003204E2">
        <w:rPr>
          <w:lang w:val="fr-FR"/>
        </w:rPr>
        <w:t>.  Munis d</w:t>
      </w:r>
      <w:r w:rsidR="003204E2" w:rsidRPr="003204E2">
        <w:rPr>
          <w:lang w:val="fr-FR"/>
        </w:rPr>
        <w:t>’</w:t>
      </w:r>
      <w:r w:rsidRPr="003204E2">
        <w:rPr>
          <w:lang w:val="fr-FR"/>
        </w:rPr>
        <w:t>un décret de perquisition, les gendarmes fouillèrent la voiture des requérants trouvant deux appareils émetteurs-récepteurs à modulation de fréquences capables d</w:t>
      </w:r>
      <w:r w:rsidR="003204E2" w:rsidRPr="003204E2">
        <w:rPr>
          <w:lang w:val="fr-FR"/>
        </w:rPr>
        <w:t>’</w:t>
      </w:r>
      <w:r w:rsidRPr="003204E2">
        <w:rPr>
          <w:lang w:val="fr-FR"/>
        </w:rPr>
        <w:t xml:space="preserve">intercepter les </w:t>
      </w:r>
      <w:r w:rsidR="006266ED" w:rsidRPr="003204E2">
        <w:rPr>
          <w:lang w:val="fr-FR"/>
        </w:rPr>
        <w:t>radio</w:t>
      </w:r>
      <w:r w:rsidRPr="003204E2">
        <w:rPr>
          <w:lang w:val="fr-FR"/>
        </w:rPr>
        <w:t>communications des forces de l</w:t>
      </w:r>
      <w:r w:rsidR="003204E2" w:rsidRPr="003204E2">
        <w:rPr>
          <w:lang w:val="fr-FR"/>
        </w:rPr>
        <w:t>’</w:t>
      </w:r>
      <w:r w:rsidRPr="003204E2">
        <w:rPr>
          <w:lang w:val="fr-FR"/>
        </w:rPr>
        <w:t>ordre.</w:t>
      </w:r>
    </w:p>
    <w:p w:rsidR="002B171C"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11</w:t>
      </w:r>
      <w:r w:rsidRPr="003204E2">
        <w:rPr>
          <w:lang w:val="fr-FR"/>
        </w:rPr>
        <w:fldChar w:fldCharType="end"/>
      </w:r>
      <w:r w:rsidRPr="003204E2">
        <w:rPr>
          <w:lang w:val="fr-FR"/>
        </w:rPr>
        <w:t xml:space="preserve">.  Les gendarmes se rendirent ensuite auprès du bureau de rédaction des requérants et saisirent deux appareils récepteurs fixes, calés sur les </w:t>
      </w:r>
      <w:r w:rsidR="006266ED" w:rsidRPr="003204E2">
        <w:rPr>
          <w:lang w:val="fr-FR"/>
        </w:rPr>
        <w:t>radio</w:t>
      </w:r>
      <w:r w:rsidRPr="003204E2">
        <w:rPr>
          <w:lang w:val="fr-FR"/>
        </w:rPr>
        <w:t>fréquences de la gendarmerie. Dans la mémoire de ces appareils, d</w:t>
      </w:r>
      <w:r w:rsidR="003204E2" w:rsidRPr="003204E2">
        <w:rPr>
          <w:lang w:val="fr-FR"/>
        </w:rPr>
        <w:t>’</w:t>
      </w:r>
      <w:r w:rsidRPr="003204E2">
        <w:rPr>
          <w:lang w:val="fr-FR"/>
        </w:rPr>
        <w:t>autres fréquences de centres opératifs des forces de police étaient enregistrées.</w:t>
      </w:r>
    </w:p>
    <w:p w:rsidR="002B171C" w:rsidRPr="003204E2" w:rsidRDefault="005F279E" w:rsidP="003204E2">
      <w:pPr>
        <w:pStyle w:val="ECHRHeading2"/>
        <w:rPr>
          <w:lang w:val="fr-FR"/>
        </w:rPr>
      </w:pPr>
      <w:r w:rsidRPr="003204E2">
        <w:rPr>
          <w:lang w:val="fr-FR"/>
        </w:rPr>
        <w:t>A</w:t>
      </w:r>
      <w:r w:rsidR="002B171C" w:rsidRPr="003204E2">
        <w:rPr>
          <w:lang w:val="fr-FR"/>
        </w:rPr>
        <w:t>.</w:t>
      </w:r>
      <w:r w:rsidR="00823CD3" w:rsidRPr="003204E2">
        <w:rPr>
          <w:lang w:val="fr-FR"/>
        </w:rPr>
        <w:t>  </w:t>
      </w:r>
      <w:r w:rsidR="002B171C" w:rsidRPr="003204E2">
        <w:rPr>
          <w:lang w:val="fr-FR"/>
        </w:rPr>
        <w:t>La procédure pénale entamée à l</w:t>
      </w:r>
      <w:r w:rsidR="003204E2" w:rsidRPr="003204E2">
        <w:rPr>
          <w:lang w:val="fr-FR"/>
        </w:rPr>
        <w:t>’</w:t>
      </w:r>
      <w:r w:rsidR="002B171C" w:rsidRPr="003204E2">
        <w:rPr>
          <w:lang w:val="fr-FR"/>
        </w:rPr>
        <w:t>encontre des requérants en première instance</w:t>
      </w:r>
    </w:p>
    <w:p w:rsidR="00255BA1" w:rsidRPr="003204E2" w:rsidRDefault="00255BA1"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12</w:t>
      </w:r>
      <w:r w:rsidRPr="003204E2">
        <w:rPr>
          <w:lang w:val="fr-FR"/>
        </w:rPr>
        <w:fldChar w:fldCharType="end"/>
      </w:r>
      <w:r w:rsidRPr="003204E2">
        <w:rPr>
          <w:lang w:val="fr-FR"/>
        </w:rPr>
        <w:t>.  Une procédure pénale fut ouverte à l</w:t>
      </w:r>
      <w:r w:rsidR="003204E2" w:rsidRPr="003204E2">
        <w:rPr>
          <w:lang w:val="fr-FR"/>
        </w:rPr>
        <w:t>’</w:t>
      </w:r>
      <w:r w:rsidRPr="003204E2">
        <w:rPr>
          <w:lang w:val="fr-FR"/>
        </w:rPr>
        <w:t>encontre du premier et deuxième requérants pour installation illégale d</w:t>
      </w:r>
      <w:r w:rsidR="003204E2" w:rsidRPr="003204E2">
        <w:rPr>
          <w:lang w:val="fr-FR"/>
        </w:rPr>
        <w:t>’</w:t>
      </w:r>
      <w:r w:rsidRPr="003204E2">
        <w:rPr>
          <w:lang w:val="fr-FR"/>
        </w:rPr>
        <w:t>appareils visant l</w:t>
      </w:r>
      <w:r w:rsidR="003204E2" w:rsidRPr="003204E2">
        <w:rPr>
          <w:lang w:val="fr-FR"/>
        </w:rPr>
        <w:t>’</w:t>
      </w:r>
      <w:r w:rsidRPr="003204E2">
        <w:rPr>
          <w:lang w:val="fr-FR"/>
        </w:rPr>
        <w:t>interception de communications entre les centres opératifs des forces de l</w:t>
      </w:r>
      <w:r w:rsidR="003204E2" w:rsidRPr="003204E2">
        <w:rPr>
          <w:lang w:val="fr-FR"/>
        </w:rPr>
        <w:t>’</w:t>
      </w:r>
      <w:r w:rsidRPr="003204E2">
        <w:rPr>
          <w:lang w:val="fr-FR"/>
        </w:rPr>
        <w:t xml:space="preserve">ordre et les patrouilles (articles 617, 617 </w:t>
      </w:r>
      <w:r w:rsidRPr="003204E2">
        <w:rPr>
          <w:i/>
          <w:lang w:val="fr-FR"/>
        </w:rPr>
        <w:t>bis</w:t>
      </w:r>
      <w:r w:rsidRPr="003204E2">
        <w:rPr>
          <w:lang w:val="fr-FR"/>
        </w:rPr>
        <w:t xml:space="preserve"> et 623 </w:t>
      </w:r>
      <w:r w:rsidRPr="003204E2">
        <w:rPr>
          <w:i/>
          <w:lang w:val="fr-FR"/>
        </w:rPr>
        <w:t>bis</w:t>
      </w:r>
      <w:r w:rsidRPr="003204E2">
        <w:rPr>
          <w:lang w:val="fr-FR"/>
        </w:rPr>
        <w:t xml:space="preserve"> du code pénal). Le troisième requérant fut incriminé pour avoir acquis les communications mentionnées ci-dessus (articles 617 et 623 </w:t>
      </w:r>
      <w:r w:rsidRPr="003204E2">
        <w:rPr>
          <w:i/>
          <w:lang w:val="fr-FR"/>
        </w:rPr>
        <w:t>bis</w:t>
      </w:r>
      <w:r w:rsidRPr="003204E2">
        <w:rPr>
          <w:lang w:val="fr-FR"/>
        </w:rPr>
        <w:t xml:space="preserve"> du code pénal).</w:t>
      </w:r>
    </w:p>
    <w:p w:rsidR="002B171C"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13</w:t>
      </w:r>
      <w:r w:rsidRPr="003204E2">
        <w:rPr>
          <w:lang w:val="fr-FR"/>
        </w:rPr>
        <w:fldChar w:fldCharType="end"/>
      </w:r>
      <w:r w:rsidRPr="003204E2">
        <w:rPr>
          <w:lang w:val="fr-FR"/>
        </w:rPr>
        <w:t>.  Le 9 novembre 2004, le tribunal de Lecco acquitta les requérants. Il estima que les articles du code pénal en cause devaient être interprétés à la lumière de l</w:t>
      </w:r>
      <w:r w:rsidR="003204E2" w:rsidRPr="003204E2">
        <w:rPr>
          <w:lang w:val="fr-FR"/>
        </w:rPr>
        <w:t>’</w:t>
      </w:r>
      <w:r w:rsidRPr="003204E2">
        <w:rPr>
          <w:lang w:val="fr-FR"/>
        </w:rPr>
        <w:t>article 15 de la Constitution, protégeant uniquement les communications ayant caractère confidenti</w:t>
      </w:r>
      <w:r w:rsidR="000169B6" w:rsidRPr="003204E2">
        <w:rPr>
          <w:lang w:val="fr-FR"/>
        </w:rPr>
        <w:t>el</w:t>
      </w:r>
      <w:r w:rsidRPr="003204E2">
        <w:rPr>
          <w:lang w:val="fr-FR"/>
        </w:rPr>
        <w:t>.</w:t>
      </w:r>
    </w:p>
    <w:p w:rsidR="003204E2"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14</w:t>
      </w:r>
      <w:r w:rsidRPr="003204E2">
        <w:rPr>
          <w:lang w:val="fr-FR"/>
        </w:rPr>
        <w:fldChar w:fldCharType="end"/>
      </w:r>
      <w:r w:rsidRPr="003204E2">
        <w:rPr>
          <w:lang w:val="fr-FR"/>
        </w:rPr>
        <w:t>.  Le tribunal observa que l</w:t>
      </w:r>
      <w:r w:rsidR="003204E2" w:rsidRPr="003204E2">
        <w:rPr>
          <w:lang w:val="fr-FR"/>
        </w:rPr>
        <w:t>’</w:t>
      </w:r>
      <w:r w:rsidRPr="003204E2">
        <w:rPr>
          <w:lang w:val="fr-FR"/>
        </w:rPr>
        <w:t>outil</w:t>
      </w:r>
      <w:r w:rsidR="00D87404" w:rsidRPr="003204E2">
        <w:rPr>
          <w:lang w:val="fr-FR"/>
        </w:rPr>
        <w:t>-radio</w:t>
      </w:r>
      <w:r w:rsidRPr="003204E2">
        <w:rPr>
          <w:lang w:val="fr-FR"/>
        </w:rPr>
        <w:t xml:space="preserve"> utili</w:t>
      </w:r>
      <w:r w:rsidR="008B4D68" w:rsidRPr="003204E2">
        <w:rPr>
          <w:lang w:val="fr-FR"/>
        </w:rPr>
        <w:t xml:space="preserve">sé par les forces de </w:t>
      </w:r>
      <w:r w:rsidR="00D87404" w:rsidRPr="003204E2">
        <w:rPr>
          <w:lang w:val="fr-FR"/>
        </w:rPr>
        <w:t>l</w:t>
      </w:r>
      <w:r w:rsidR="003204E2" w:rsidRPr="003204E2">
        <w:rPr>
          <w:lang w:val="fr-FR"/>
        </w:rPr>
        <w:t>’</w:t>
      </w:r>
      <w:r w:rsidR="00D87404" w:rsidRPr="003204E2">
        <w:rPr>
          <w:lang w:val="fr-FR"/>
        </w:rPr>
        <w:t>ordre</w:t>
      </w:r>
      <w:r w:rsidR="008B4D68" w:rsidRPr="003204E2">
        <w:rPr>
          <w:lang w:val="fr-FR"/>
        </w:rPr>
        <w:t xml:space="preserve"> </w:t>
      </w:r>
      <w:r w:rsidR="00255BA1" w:rsidRPr="003204E2">
        <w:rPr>
          <w:lang w:val="fr-FR"/>
        </w:rPr>
        <w:t>n</w:t>
      </w:r>
      <w:r w:rsidR="003204E2" w:rsidRPr="003204E2">
        <w:rPr>
          <w:lang w:val="fr-FR"/>
        </w:rPr>
        <w:t>’</w:t>
      </w:r>
      <w:r w:rsidR="008B4D68" w:rsidRPr="003204E2">
        <w:rPr>
          <w:lang w:val="fr-FR"/>
        </w:rPr>
        <w:t xml:space="preserve">était pas de </w:t>
      </w:r>
      <w:r w:rsidRPr="003204E2">
        <w:rPr>
          <w:lang w:val="fr-FR"/>
        </w:rPr>
        <w:t xml:space="preserve">nature à </w:t>
      </w:r>
      <w:r w:rsidR="008B4D68" w:rsidRPr="003204E2">
        <w:rPr>
          <w:lang w:val="fr-FR"/>
        </w:rPr>
        <w:t xml:space="preserve">pouvoir assurer </w:t>
      </w:r>
      <w:r w:rsidRPr="003204E2">
        <w:rPr>
          <w:lang w:val="fr-FR"/>
        </w:rPr>
        <w:t>la confidentialité des informations transmises. Ainsi, l</w:t>
      </w:r>
      <w:r w:rsidR="003204E2" w:rsidRPr="003204E2">
        <w:rPr>
          <w:lang w:val="fr-FR"/>
        </w:rPr>
        <w:t>’</w:t>
      </w:r>
      <w:r w:rsidRPr="003204E2">
        <w:rPr>
          <w:lang w:val="fr-FR"/>
        </w:rPr>
        <w:t>interception des communications en cause ne constituait pas une infraction. De plus, la possession et l</w:t>
      </w:r>
      <w:r w:rsidR="003204E2" w:rsidRPr="003204E2">
        <w:rPr>
          <w:lang w:val="fr-FR"/>
        </w:rPr>
        <w:t>’</w:t>
      </w:r>
      <w:r w:rsidRPr="003204E2">
        <w:rPr>
          <w:lang w:val="fr-FR"/>
        </w:rPr>
        <w:t>utilisation d</w:t>
      </w:r>
      <w:r w:rsidR="003204E2" w:rsidRPr="003204E2">
        <w:rPr>
          <w:lang w:val="fr-FR"/>
        </w:rPr>
        <w:t>’</w:t>
      </w:r>
      <w:r w:rsidRPr="003204E2">
        <w:rPr>
          <w:lang w:val="fr-FR"/>
        </w:rPr>
        <w:t>appareils radiorécepteurs n</w:t>
      </w:r>
      <w:r w:rsidR="003204E2" w:rsidRPr="003204E2">
        <w:rPr>
          <w:lang w:val="fr-FR"/>
        </w:rPr>
        <w:t>’</w:t>
      </w:r>
      <w:r w:rsidRPr="003204E2">
        <w:rPr>
          <w:lang w:val="fr-FR"/>
        </w:rPr>
        <w:t>étaient pas interdites en tant que telles.</w:t>
      </w:r>
    </w:p>
    <w:p w:rsidR="003204E2" w:rsidRPr="003204E2" w:rsidRDefault="005F279E" w:rsidP="003204E2">
      <w:pPr>
        <w:pStyle w:val="ECHRHeading2"/>
        <w:rPr>
          <w:lang w:val="fr-FR"/>
        </w:rPr>
      </w:pPr>
      <w:r w:rsidRPr="003204E2">
        <w:rPr>
          <w:lang w:val="fr-FR"/>
        </w:rPr>
        <w:lastRenderedPageBreak/>
        <w:t>B</w:t>
      </w:r>
      <w:r w:rsidR="00823CD3" w:rsidRPr="003204E2">
        <w:rPr>
          <w:lang w:val="fr-FR"/>
        </w:rPr>
        <w:t>.  </w:t>
      </w:r>
      <w:r w:rsidR="002B171C" w:rsidRPr="003204E2">
        <w:rPr>
          <w:lang w:val="fr-FR"/>
        </w:rPr>
        <w:t>La procédure en appel</w:t>
      </w:r>
    </w:p>
    <w:p w:rsidR="002B171C"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15</w:t>
      </w:r>
      <w:r w:rsidRPr="003204E2">
        <w:rPr>
          <w:lang w:val="fr-FR"/>
        </w:rPr>
        <w:fldChar w:fldCharType="end"/>
      </w:r>
      <w:r w:rsidRPr="003204E2">
        <w:rPr>
          <w:lang w:val="fr-FR"/>
        </w:rPr>
        <w:t>.  Le procureur général de Milan et le procureur de Lecco interjetèrent appel. Ils estimèrent que l</w:t>
      </w:r>
      <w:r w:rsidR="003204E2" w:rsidRPr="003204E2">
        <w:rPr>
          <w:lang w:val="fr-FR"/>
        </w:rPr>
        <w:t>’</w:t>
      </w:r>
      <w:r w:rsidRPr="003204E2">
        <w:rPr>
          <w:lang w:val="fr-FR"/>
        </w:rPr>
        <w:t>interprétation fournie par le tribunal de Lecco n</w:t>
      </w:r>
      <w:r w:rsidR="003204E2" w:rsidRPr="003204E2">
        <w:rPr>
          <w:lang w:val="fr-FR"/>
        </w:rPr>
        <w:t>’</w:t>
      </w:r>
      <w:r w:rsidRPr="003204E2">
        <w:rPr>
          <w:lang w:val="fr-FR"/>
        </w:rPr>
        <w:t>était pas conforme à la jurisprudence de la C</w:t>
      </w:r>
      <w:r w:rsidR="008B4D68" w:rsidRPr="003204E2">
        <w:rPr>
          <w:lang w:val="fr-FR"/>
        </w:rPr>
        <w:t xml:space="preserve">our de cassation en la matière (ils citèrent </w:t>
      </w:r>
      <w:r w:rsidRPr="003204E2">
        <w:rPr>
          <w:lang w:val="fr-FR"/>
        </w:rPr>
        <w:t>notamment l</w:t>
      </w:r>
      <w:r w:rsidR="003204E2" w:rsidRPr="003204E2">
        <w:rPr>
          <w:lang w:val="fr-FR"/>
        </w:rPr>
        <w:t>’</w:t>
      </w:r>
      <w:r w:rsidRPr="003204E2">
        <w:rPr>
          <w:lang w:val="fr-FR"/>
        </w:rPr>
        <w:t>arrêt n</w:t>
      </w:r>
      <w:r w:rsidR="00681DD3" w:rsidRPr="003204E2">
        <w:rPr>
          <w:lang w:val="fr-FR"/>
        </w:rPr>
        <w:t>o</w:t>
      </w:r>
      <w:r w:rsidRPr="003204E2">
        <w:rPr>
          <w:lang w:val="fr-FR"/>
        </w:rPr>
        <w:t> 12655 du 23 janvier 2001</w:t>
      </w:r>
      <w:r w:rsidR="008B4D68" w:rsidRPr="003204E2">
        <w:rPr>
          <w:lang w:val="fr-FR"/>
        </w:rPr>
        <w:t>)</w:t>
      </w:r>
      <w:r w:rsidRPr="003204E2">
        <w:rPr>
          <w:lang w:val="fr-FR"/>
        </w:rPr>
        <w:t xml:space="preserve"> et que le caractère confidentiel des communications en cause était évident, compte tenu des </w:t>
      </w:r>
      <w:r w:rsidR="00E0436C" w:rsidRPr="003204E2">
        <w:rPr>
          <w:lang w:val="fr-FR"/>
        </w:rPr>
        <w:t>objectifs de protection de</w:t>
      </w:r>
      <w:r w:rsidRPr="003204E2">
        <w:rPr>
          <w:lang w:val="fr-FR"/>
        </w:rPr>
        <w:t xml:space="preserve"> la sécurité et l</w:t>
      </w:r>
      <w:r w:rsidR="003204E2" w:rsidRPr="003204E2">
        <w:rPr>
          <w:lang w:val="fr-FR"/>
        </w:rPr>
        <w:t>’</w:t>
      </w:r>
      <w:r w:rsidRPr="003204E2">
        <w:rPr>
          <w:lang w:val="fr-FR"/>
        </w:rPr>
        <w:t>ordre publics. En outre, ces communications concernaient des premières investigations après la commission d</w:t>
      </w:r>
      <w:r w:rsidR="003204E2" w:rsidRPr="003204E2">
        <w:rPr>
          <w:lang w:val="fr-FR"/>
        </w:rPr>
        <w:t>’</w:t>
      </w:r>
      <w:r w:rsidRPr="003204E2">
        <w:rPr>
          <w:lang w:val="fr-FR"/>
        </w:rPr>
        <w:t>une infraction. Dès lors, elles tombaient sous le coup d</w:t>
      </w:r>
      <w:r w:rsidR="003204E2" w:rsidRPr="003204E2">
        <w:rPr>
          <w:lang w:val="fr-FR"/>
        </w:rPr>
        <w:t>’</w:t>
      </w:r>
      <w:r w:rsidRPr="003204E2">
        <w:rPr>
          <w:lang w:val="fr-FR"/>
        </w:rPr>
        <w:t>une obligation de confidentialité en application de l</w:t>
      </w:r>
      <w:r w:rsidR="003204E2" w:rsidRPr="003204E2">
        <w:rPr>
          <w:lang w:val="fr-FR"/>
        </w:rPr>
        <w:t>’</w:t>
      </w:r>
      <w:r w:rsidRPr="003204E2">
        <w:rPr>
          <w:lang w:val="fr-FR"/>
        </w:rPr>
        <w:t>article 3</w:t>
      </w:r>
      <w:r w:rsidR="00B74C28" w:rsidRPr="003204E2">
        <w:rPr>
          <w:lang w:val="fr-FR"/>
        </w:rPr>
        <w:t>29 du code de procédure pénale</w:t>
      </w:r>
      <w:r w:rsidRPr="003204E2">
        <w:rPr>
          <w:lang w:val="fr-FR"/>
        </w:rPr>
        <w:t>.</w:t>
      </w:r>
    </w:p>
    <w:p w:rsidR="002B171C"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16</w:t>
      </w:r>
      <w:r w:rsidRPr="003204E2">
        <w:rPr>
          <w:lang w:val="fr-FR"/>
        </w:rPr>
        <w:fldChar w:fldCharType="end"/>
      </w:r>
      <w:r w:rsidRPr="003204E2">
        <w:rPr>
          <w:lang w:val="fr-FR"/>
        </w:rPr>
        <w:t>.  De plus, le caractère confidentiel susmentionné ressortait aussi de ce que les gendarmes utilisaient un langage codé pour les communications concernant les lieux et le type d</w:t>
      </w:r>
      <w:r w:rsidR="003204E2" w:rsidRPr="003204E2">
        <w:rPr>
          <w:lang w:val="fr-FR"/>
        </w:rPr>
        <w:t>’</w:t>
      </w:r>
      <w:r w:rsidRPr="003204E2">
        <w:rPr>
          <w:lang w:val="fr-FR"/>
        </w:rPr>
        <w:t>intervention, visant manifestement à exclure des tierces personnes de la connaissance des informations échangées. Par ailleurs, les fréquences radiophoniques en cause étaient assignées exclusivement aux centres opérationnels par le ministère de la Défense.</w:t>
      </w:r>
    </w:p>
    <w:p w:rsidR="002B171C"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17</w:t>
      </w:r>
      <w:r w:rsidRPr="003204E2">
        <w:rPr>
          <w:lang w:val="fr-FR"/>
        </w:rPr>
        <w:fldChar w:fldCharType="end"/>
      </w:r>
      <w:r w:rsidRPr="003204E2">
        <w:rPr>
          <w:lang w:val="fr-FR"/>
        </w:rPr>
        <w:t>.  En outre, afin d</w:t>
      </w:r>
      <w:r w:rsidR="003204E2" w:rsidRPr="003204E2">
        <w:rPr>
          <w:lang w:val="fr-FR"/>
        </w:rPr>
        <w:t>’</w:t>
      </w:r>
      <w:r w:rsidRPr="003204E2">
        <w:rPr>
          <w:lang w:val="fr-FR"/>
        </w:rPr>
        <w:t>écouter lesdites conversations, les requérants avaient dû acheter un équipement radio spécifique, celui ordinaire ne pouvant pas servir à ce but. De l</w:t>
      </w:r>
      <w:r w:rsidR="003204E2" w:rsidRPr="003204E2">
        <w:rPr>
          <w:lang w:val="fr-FR"/>
        </w:rPr>
        <w:t>’</w:t>
      </w:r>
      <w:r w:rsidRPr="003204E2">
        <w:rPr>
          <w:lang w:val="fr-FR"/>
        </w:rPr>
        <w:t>autre côté, le fait que ces instruments pouvaient être librement acquis sur le marché ne justifiait pas leur utilisation à des fins d</w:t>
      </w:r>
      <w:r w:rsidR="003204E2" w:rsidRPr="003204E2">
        <w:rPr>
          <w:lang w:val="fr-FR"/>
        </w:rPr>
        <w:t>’</w:t>
      </w:r>
      <w:r w:rsidRPr="003204E2">
        <w:rPr>
          <w:lang w:val="fr-FR"/>
        </w:rPr>
        <w:t xml:space="preserve">écoutes de conversations des forces de </w:t>
      </w:r>
      <w:r w:rsidR="00D461CC" w:rsidRPr="003204E2">
        <w:rPr>
          <w:lang w:val="fr-FR"/>
        </w:rPr>
        <w:t>l</w:t>
      </w:r>
      <w:r w:rsidR="003204E2" w:rsidRPr="003204E2">
        <w:rPr>
          <w:lang w:val="fr-FR"/>
        </w:rPr>
        <w:t>’</w:t>
      </w:r>
      <w:r w:rsidR="00D461CC" w:rsidRPr="003204E2">
        <w:rPr>
          <w:lang w:val="fr-FR"/>
        </w:rPr>
        <w:t>ordre</w:t>
      </w:r>
      <w:r w:rsidRPr="003204E2">
        <w:rPr>
          <w:lang w:val="fr-FR"/>
        </w:rPr>
        <w:t>.</w:t>
      </w:r>
    </w:p>
    <w:p w:rsidR="002B171C"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18</w:t>
      </w:r>
      <w:r w:rsidRPr="003204E2">
        <w:rPr>
          <w:lang w:val="fr-FR"/>
        </w:rPr>
        <w:fldChar w:fldCharType="end"/>
      </w:r>
      <w:r w:rsidRPr="003204E2">
        <w:rPr>
          <w:lang w:val="fr-FR"/>
        </w:rPr>
        <w:t>.  De plus, en application du décret du président de la République n</w:t>
      </w:r>
      <w:r w:rsidR="00681DD3" w:rsidRPr="003204E2">
        <w:rPr>
          <w:vertAlign w:val="superscript"/>
          <w:lang w:val="fr-FR"/>
        </w:rPr>
        <w:t>o</w:t>
      </w:r>
      <w:r w:rsidRPr="003204E2">
        <w:rPr>
          <w:lang w:val="fr-FR"/>
        </w:rPr>
        <w:t> </w:t>
      </w:r>
      <w:r w:rsidR="00CD28EB" w:rsidRPr="003204E2">
        <w:rPr>
          <w:lang w:val="fr-FR"/>
        </w:rPr>
        <w:t xml:space="preserve">447 de </w:t>
      </w:r>
      <w:r w:rsidRPr="003204E2">
        <w:rPr>
          <w:lang w:val="fr-FR"/>
        </w:rPr>
        <w:t>2001, en vigueur à l</w:t>
      </w:r>
      <w:r w:rsidR="003204E2" w:rsidRPr="003204E2">
        <w:rPr>
          <w:lang w:val="fr-FR"/>
        </w:rPr>
        <w:t>’</w:t>
      </w:r>
      <w:r w:rsidRPr="003204E2">
        <w:rPr>
          <w:lang w:val="fr-FR"/>
        </w:rPr>
        <w:t xml:space="preserve">époque des faits, ces instruments étaient normalement achetés par des radioamateurs mais ne pouvaient pas être utilisés pour intercepter des </w:t>
      </w:r>
      <w:r w:rsidR="00455777" w:rsidRPr="003204E2">
        <w:rPr>
          <w:lang w:val="fr-FR"/>
        </w:rPr>
        <w:t>radio</w:t>
      </w:r>
      <w:r w:rsidRPr="003204E2">
        <w:rPr>
          <w:lang w:val="fr-FR"/>
        </w:rPr>
        <w:t>fréquences de la police</w:t>
      </w:r>
      <w:r w:rsidR="00FE6FD1" w:rsidRPr="003204E2">
        <w:rPr>
          <w:lang w:val="fr-FR"/>
        </w:rPr>
        <w:t xml:space="preserve">. Enfin, </w:t>
      </w:r>
      <w:r w:rsidR="00B74C28" w:rsidRPr="003204E2">
        <w:rPr>
          <w:lang w:val="fr-FR"/>
        </w:rPr>
        <w:t>le</w:t>
      </w:r>
      <w:r w:rsidRPr="003204E2">
        <w:rPr>
          <w:lang w:val="fr-FR"/>
        </w:rPr>
        <w:t xml:space="preserve"> décret </w:t>
      </w:r>
      <w:r w:rsidR="00F64CE2" w:rsidRPr="003204E2">
        <w:rPr>
          <w:lang w:val="fr-FR"/>
        </w:rPr>
        <w:t>du ministère des Communications</w:t>
      </w:r>
      <w:r w:rsidRPr="003204E2">
        <w:rPr>
          <w:lang w:val="fr-FR"/>
        </w:rPr>
        <w:t xml:space="preserve"> du 11 février 2003 a</w:t>
      </w:r>
      <w:r w:rsidR="00FE6FD1" w:rsidRPr="003204E2">
        <w:rPr>
          <w:lang w:val="fr-FR"/>
        </w:rPr>
        <w:t>vait</w:t>
      </w:r>
      <w:r w:rsidRPr="003204E2">
        <w:rPr>
          <w:lang w:val="fr-FR"/>
        </w:rPr>
        <w:t xml:space="preserve"> interdit expressément les radioamateurs d</w:t>
      </w:r>
      <w:r w:rsidR="003204E2" w:rsidRPr="003204E2">
        <w:rPr>
          <w:lang w:val="fr-FR"/>
        </w:rPr>
        <w:t>’</w:t>
      </w:r>
      <w:r w:rsidRPr="003204E2">
        <w:rPr>
          <w:lang w:val="fr-FR"/>
        </w:rPr>
        <w:t>intercepter des communications qu</w:t>
      </w:r>
      <w:r w:rsidR="003204E2" w:rsidRPr="003204E2">
        <w:rPr>
          <w:lang w:val="fr-FR"/>
        </w:rPr>
        <w:t>’</w:t>
      </w:r>
      <w:r w:rsidRPr="003204E2">
        <w:rPr>
          <w:lang w:val="fr-FR"/>
        </w:rPr>
        <w:t>ils n</w:t>
      </w:r>
      <w:r w:rsidR="003204E2" w:rsidRPr="003204E2">
        <w:rPr>
          <w:lang w:val="fr-FR"/>
        </w:rPr>
        <w:t>’</w:t>
      </w:r>
      <w:r w:rsidRPr="003204E2">
        <w:rPr>
          <w:lang w:val="fr-FR"/>
        </w:rPr>
        <w:t>a</w:t>
      </w:r>
      <w:r w:rsidR="00C63F3F" w:rsidRPr="003204E2">
        <w:rPr>
          <w:lang w:val="fr-FR"/>
        </w:rPr>
        <w:t>vaient pas le droit de recevoir</w:t>
      </w:r>
      <w:r w:rsidRPr="003204E2">
        <w:rPr>
          <w:lang w:val="fr-FR"/>
        </w:rPr>
        <w:t>.</w:t>
      </w:r>
    </w:p>
    <w:p w:rsidR="002B171C" w:rsidRPr="003204E2" w:rsidRDefault="005F279E" w:rsidP="003204E2">
      <w:pPr>
        <w:pStyle w:val="ECHRHeading2"/>
        <w:rPr>
          <w:lang w:val="fr-FR"/>
        </w:rPr>
      </w:pPr>
      <w:r w:rsidRPr="003204E2">
        <w:rPr>
          <w:lang w:val="fr-FR"/>
        </w:rPr>
        <w:t>C</w:t>
      </w:r>
      <w:r w:rsidR="00823CD3" w:rsidRPr="003204E2">
        <w:rPr>
          <w:lang w:val="fr-FR"/>
        </w:rPr>
        <w:t>.  </w:t>
      </w:r>
      <w:r w:rsidR="002B171C" w:rsidRPr="003204E2">
        <w:rPr>
          <w:lang w:val="fr-FR"/>
        </w:rPr>
        <w:t>L</w:t>
      </w:r>
      <w:r w:rsidR="003204E2" w:rsidRPr="003204E2">
        <w:rPr>
          <w:lang w:val="fr-FR"/>
        </w:rPr>
        <w:t>’</w:t>
      </w:r>
      <w:r w:rsidR="002B171C" w:rsidRPr="003204E2">
        <w:rPr>
          <w:lang w:val="fr-FR"/>
        </w:rPr>
        <w:t>arrêt de la cour d</w:t>
      </w:r>
      <w:r w:rsidR="003204E2" w:rsidRPr="003204E2">
        <w:rPr>
          <w:lang w:val="fr-FR"/>
        </w:rPr>
        <w:t>’</w:t>
      </w:r>
      <w:r w:rsidR="002B171C" w:rsidRPr="003204E2">
        <w:rPr>
          <w:lang w:val="fr-FR"/>
        </w:rPr>
        <w:t>appel de Milan</w:t>
      </w:r>
    </w:p>
    <w:p w:rsidR="002B171C" w:rsidRPr="003204E2" w:rsidRDefault="00E55904" w:rsidP="003204E2">
      <w:pPr>
        <w:pStyle w:val="ECHRPara"/>
        <w:rPr>
          <w:rStyle w:val="hps"/>
          <w:lang w:val="fr-FR"/>
        </w:rPr>
      </w:pPr>
      <w:r w:rsidRPr="003204E2">
        <w:rPr>
          <w:rStyle w:val="hps"/>
          <w:lang w:val="fr-FR"/>
        </w:rPr>
        <w:fldChar w:fldCharType="begin"/>
      </w:r>
      <w:r w:rsidRPr="003204E2">
        <w:rPr>
          <w:rStyle w:val="hps"/>
          <w:lang w:val="fr-FR"/>
        </w:rPr>
        <w:instrText xml:space="preserve"> SEQ level0 \*arabic </w:instrText>
      </w:r>
      <w:r w:rsidRPr="003204E2">
        <w:rPr>
          <w:rStyle w:val="hps"/>
          <w:lang w:val="fr-FR"/>
        </w:rPr>
        <w:fldChar w:fldCharType="separate"/>
      </w:r>
      <w:r w:rsidR="003204E2" w:rsidRPr="003204E2">
        <w:rPr>
          <w:rStyle w:val="hps"/>
          <w:noProof/>
          <w:lang w:val="fr-FR"/>
        </w:rPr>
        <w:t>19</w:t>
      </w:r>
      <w:r w:rsidRPr="003204E2">
        <w:rPr>
          <w:rStyle w:val="hps"/>
          <w:lang w:val="fr-FR"/>
        </w:rPr>
        <w:fldChar w:fldCharType="end"/>
      </w:r>
      <w:r w:rsidRPr="003204E2">
        <w:rPr>
          <w:rStyle w:val="hps"/>
          <w:lang w:val="fr-FR"/>
        </w:rPr>
        <w:t>.  </w:t>
      </w:r>
      <w:r w:rsidR="002B171C" w:rsidRPr="003204E2">
        <w:rPr>
          <w:rStyle w:val="hps"/>
          <w:lang w:val="fr-FR"/>
        </w:rPr>
        <w:t>Par un arrêt du 15 mai 2007, la cour d</w:t>
      </w:r>
      <w:r w:rsidR="003204E2" w:rsidRPr="003204E2">
        <w:rPr>
          <w:rStyle w:val="hps"/>
          <w:lang w:val="fr-FR"/>
        </w:rPr>
        <w:t>’</w:t>
      </w:r>
      <w:r w:rsidR="002B171C" w:rsidRPr="003204E2">
        <w:rPr>
          <w:rStyle w:val="hps"/>
          <w:lang w:val="fr-FR"/>
        </w:rPr>
        <w:t>appel de Milan condamna le premier et deuxième requérants à une peine de un an et trois mois de réclusion. Le troisième requérant fut condamné à six mois de réclusion.</w:t>
      </w:r>
      <w:r w:rsidR="00642C85" w:rsidRPr="003204E2">
        <w:rPr>
          <w:rStyle w:val="hps"/>
          <w:lang w:val="fr-FR"/>
        </w:rPr>
        <w:t xml:space="preserve"> </w:t>
      </w:r>
      <w:r w:rsidRPr="003204E2">
        <w:rPr>
          <w:lang w:val="fr-FR"/>
        </w:rPr>
        <w:t>La cour d</w:t>
      </w:r>
      <w:r w:rsidR="003204E2" w:rsidRPr="003204E2">
        <w:rPr>
          <w:lang w:val="fr-FR"/>
        </w:rPr>
        <w:t>’</w:t>
      </w:r>
      <w:r w:rsidRPr="003204E2">
        <w:rPr>
          <w:lang w:val="fr-FR"/>
        </w:rPr>
        <w:t>appel accorda aux requérants la suspension de la peine.</w:t>
      </w:r>
    </w:p>
    <w:p w:rsidR="002B171C" w:rsidRPr="003204E2" w:rsidRDefault="002B171C" w:rsidP="003204E2">
      <w:pPr>
        <w:pStyle w:val="ECHRPara"/>
        <w:rPr>
          <w:lang w:val="fr-FR"/>
        </w:rPr>
      </w:pPr>
      <w:r w:rsidRPr="003204E2">
        <w:rPr>
          <w:rStyle w:val="hps"/>
          <w:lang w:val="fr-FR"/>
        </w:rPr>
        <w:fldChar w:fldCharType="begin"/>
      </w:r>
      <w:r w:rsidRPr="003204E2">
        <w:rPr>
          <w:rStyle w:val="hps"/>
          <w:lang w:val="fr-FR"/>
        </w:rPr>
        <w:instrText xml:space="preserve"> SEQ level0 \*arabic </w:instrText>
      </w:r>
      <w:r w:rsidRPr="003204E2">
        <w:rPr>
          <w:rStyle w:val="hps"/>
          <w:lang w:val="fr-FR"/>
        </w:rPr>
        <w:fldChar w:fldCharType="separate"/>
      </w:r>
      <w:r w:rsidR="003204E2" w:rsidRPr="003204E2">
        <w:rPr>
          <w:rStyle w:val="hps"/>
          <w:noProof/>
          <w:lang w:val="fr-FR"/>
        </w:rPr>
        <w:t>20</w:t>
      </w:r>
      <w:r w:rsidRPr="003204E2">
        <w:rPr>
          <w:rStyle w:val="hps"/>
          <w:lang w:val="fr-FR"/>
        </w:rPr>
        <w:fldChar w:fldCharType="end"/>
      </w:r>
      <w:r w:rsidR="00F161AF" w:rsidRPr="003204E2">
        <w:rPr>
          <w:rStyle w:val="hps"/>
          <w:lang w:val="fr-FR"/>
        </w:rPr>
        <w:t>.  </w:t>
      </w:r>
      <w:r w:rsidR="00F161AF" w:rsidRPr="003204E2">
        <w:rPr>
          <w:lang w:val="fr-FR"/>
        </w:rPr>
        <w:t xml:space="preserve">La cour </w:t>
      </w:r>
      <w:r w:rsidRPr="003204E2">
        <w:rPr>
          <w:lang w:val="fr-FR"/>
        </w:rPr>
        <w:t>observa que l</w:t>
      </w:r>
      <w:r w:rsidR="003204E2" w:rsidRPr="003204E2">
        <w:rPr>
          <w:lang w:val="fr-FR"/>
        </w:rPr>
        <w:t>’</w:t>
      </w:r>
      <w:r w:rsidRPr="003204E2">
        <w:rPr>
          <w:lang w:val="fr-FR"/>
        </w:rPr>
        <w:t xml:space="preserve">article 623 bis du code pénal, </w:t>
      </w:r>
      <w:r w:rsidR="00987DD8" w:rsidRPr="003204E2">
        <w:rPr>
          <w:lang w:val="fr-FR"/>
        </w:rPr>
        <w:t xml:space="preserve">tel que </w:t>
      </w:r>
      <w:r w:rsidRPr="003204E2">
        <w:rPr>
          <w:lang w:val="fr-FR"/>
        </w:rPr>
        <w:t>modifié par la loi n</w:t>
      </w:r>
      <w:r w:rsidR="00681DD3" w:rsidRPr="003204E2">
        <w:rPr>
          <w:lang w:val="fr-FR"/>
        </w:rPr>
        <w:t>o</w:t>
      </w:r>
      <w:r w:rsidRPr="003204E2">
        <w:rPr>
          <w:lang w:val="fr-FR"/>
        </w:rPr>
        <w:t xml:space="preserve"> 547 du 23 novembre 1993, avait élargi l</w:t>
      </w:r>
      <w:r w:rsidR="00F161AF" w:rsidRPr="003204E2">
        <w:rPr>
          <w:lang w:val="fr-FR"/>
        </w:rPr>
        <w:t>a responsabilité pénale à toute transmission</w:t>
      </w:r>
      <w:r w:rsidRPr="003204E2">
        <w:rPr>
          <w:lang w:val="fr-FR"/>
        </w:rPr>
        <w:t xml:space="preserve"> de données à distance, y compris donc, l</w:t>
      </w:r>
      <w:r w:rsidR="003204E2" w:rsidRPr="003204E2">
        <w:rPr>
          <w:lang w:val="fr-FR"/>
        </w:rPr>
        <w:t>’</w:t>
      </w:r>
      <w:r w:rsidRPr="003204E2">
        <w:rPr>
          <w:lang w:val="fr-FR"/>
        </w:rPr>
        <w:t xml:space="preserve">écoute des conversations entre les centres opérationnels et les patrouilles des forces </w:t>
      </w:r>
      <w:r w:rsidR="005B0FB6" w:rsidRPr="003204E2">
        <w:rPr>
          <w:lang w:val="fr-FR"/>
        </w:rPr>
        <w:t>de l</w:t>
      </w:r>
      <w:r w:rsidR="003204E2" w:rsidRPr="003204E2">
        <w:rPr>
          <w:lang w:val="fr-FR"/>
        </w:rPr>
        <w:t>’</w:t>
      </w:r>
      <w:r w:rsidR="005B0FB6" w:rsidRPr="003204E2">
        <w:rPr>
          <w:lang w:val="fr-FR"/>
        </w:rPr>
        <w:t>ordre</w:t>
      </w:r>
      <w:r w:rsidRPr="003204E2">
        <w:rPr>
          <w:lang w:val="fr-FR"/>
        </w:rPr>
        <w:t>.</w:t>
      </w:r>
    </w:p>
    <w:p w:rsidR="00642C85" w:rsidRPr="003204E2" w:rsidRDefault="002B171C" w:rsidP="003204E2">
      <w:pPr>
        <w:pStyle w:val="ECHRPara"/>
        <w:rPr>
          <w:lang w:val="fr-FR"/>
        </w:rPr>
      </w:pPr>
      <w:r w:rsidRPr="003204E2">
        <w:fldChar w:fldCharType="begin"/>
      </w:r>
      <w:r w:rsidRPr="003204E2">
        <w:rPr>
          <w:lang w:val="fr-FR"/>
        </w:rPr>
        <w:instrText xml:space="preserve"> SEQ level0 \*arabic </w:instrText>
      </w:r>
      <w:r w:rsidRPr="003204E2">
        <w:fldChar w:fldCharType="separate"/>
      </w:r>
      <w:r w:rsidR="003204E2" w:rsidRPr="003204E2">
        <w:rPr>
          <w:noProof/>
          <w:lang w:val="fr-FR"/>
        </w:rPr>
        <w:t>21</w:t>
      </w:r>
      <w:r w:rsidRPr="003204E2">
        <w:fldChar w:fldCharType="end"/>
      </w:r>
      <w:r w:rsidRPr="003204E2">
        <w:rPr>
          <w:lang w:val="fr-FR"/>
        </w:rPr>
        <w:t>.  Le caractère confidentiel de ces communications</w:t>
      </w:r>
      <w:r w:rsidR="00AA6CB1" w:rsidRPr="003204E2">
        <w:rPr>
          <w:lang w:val="fr-FR"/>
        </w:rPr>
        <w:t xml:space="preserve"> était d</w:t>
      </w:r>
      <w:r w:rsidR="003204E2" w:rsidRPr="003204E2">
        <w:rPr>
          <w:lang w:val="fr-FR"/>
        </w:rPr>
        <w:t>’</w:t>
      </w:r>
      <w:r w:rsidR="00AA6CB1" w:rsidRPr="003204E2">
        <w:rPr>
          <w:lang w:val="fr-FR"/>
        </w:rPr>
        <w:t>ailleurs évident. R</w:t>
      </w:r>
      <w:r w:rsidR="00676F5A" w:rsidRPr="003204E2">
        <w:rPr>
          <w:lang w:val="fr-FR"/>
        </w:rPr>
        <w:t>éitérant l</w:t>
      </w:r>
      <w:r w:rsidR="003204E2" w:rsidRPr="003204E2">
        <w:rPr>
          <w:lang w:val="fr-FR"/>
        </w:rPr>
        <w:t>’</w:t>
      </w:r>
      <w:r w:rsidR="00E0436C" w:rsidRPr="003204E2">
        <w:rPr>
          <w:lang w:val="fr-FR"/>
        </w:rPr>
        <w:t>ensemble d</w:t>
      </w:r>
      <w:r w:rsidRPr="003204E2">
        <w:rPr>
          <w:lang w:val="fr-FR"/>
        </w:rPr>
        <w:t xml:space="preserve">es considérations des procureurs de Milan et de Lecco, </w:t>
      </w:r>
      <w:r w:rsidR="00E0436C" w:rsidRPr="003204E2">
        <w:rPr>
          <w:lang w:val="fr-FR"/>
        </w:rPr>
        <w:t xml:space="preserve">notamment en ce qui concerne les objectifs </w:t>
      </w:r>
      <w:r w:rsidR="00E0436C" w:rsidRPr="003204E2">
        <w:rPr>
          <w:rStyle w:val="hps"/>
          <w:szCs w:val="24"/>
          <w:lang w:val="fr-FR"/>
        </w:rPr>
        <w:t xml:space="preserve">de protection de la sécurité </w:t>
      </w:r>
      <w:r w:rsidR="00E0436C" w:rsidRPr="003204E2">
        <w:rPr>
          <w:rStyle w:val="hps"/>
          <w:szCs w:val="24"/>
          <w:lang w:val="fr-FR"/>
        </w:rPr>
        <w:lastRenderedPageBreak/>
        <w:t>et l</w:t>
      </w:r>
      <w:r w:rsidR="003204E2" w:rsidRPr="003204E2">
        <w:rPr>
          <w:rStyle w:val="hps"/>
          <w:szCs w:val="24"/>
          <w:lang w:val="fr-FR"/>
        </w:rPr>
        <w:t>’</w:t>
      </w:r>
      <w:r w:rsidR="00E0436C" w:rsidRPr="003204E2">
        <w:rPr>
          <w:rStyle w:val="hps"/>
          <w:szCs w:val="24"/>
          <w:lang w:val="fr-FR"/>
        </w:rPr>
        <w:t>ordre publics,</w:t>
      </w:r>
      <w:r w:rsidR="00E0436C" w:rsidRPr="003204E2">
        <w:rPr>
          <w:lang w:val="fr-FR"/>
        </w:rPr>
        <w:t xml:space="preserve"> </w:t>
      </w:r>
      <w:r w:rsidRPr="003204E2">
        <w:rPr>
          <w:lang w:val="fr-FR"/>
        </w:rPr>
        <w:t>la cour d</w:t>
      </w:r>
      <w:r w:rsidR="003204E2" w:rsidRPr="003204E2">
        <w:rPr>
          <w:lang w:val="fr-FR"/>
        </w:rPr>
        <w:t>’</w:t>
      </w:r>
      <w:r w:rsidRPr="003204E2">
        <w:rPr>
          <w:lang w:val="fr-FR"/>
        </w:rPr>
        <w:t>appel estima que l</w:t>
      </w:r>
      <w:r w:rsidR="003204E2" w:rsidRPr="003204E2">
        <w:rPr>
          <w:lang w:val="fr-FR"/>
        </w:rPr>
        <w:t>’</w:t>
      </w:r>
      <w:r w:rsidRPr="003204E2">
        <w:rPr>
          <w:lang w:val="fr-FR"/>
        </w:rPr>
        <w:t xml:space="preserve">article </w:t>
      </w:r>
      <w:r w:rsidRPr="003204E2">
        <w:rPr>
          <w:rStyle w:val="hps"/>
          <w:szCs w:val="24"/>
          <w:lang w:val="fr-FR"/>
        </w:rPr>
        <w:t>329 du code de procédure pénale</w:t>
      </w:r>
      <w:r w:rsidRPr="003204E2">
        <w:rPr>
          <w:lang w:val="fr-FR"/>
        </w:rPr>
        <w:t xml:space="preserve"> </w:t>
      </w:r>
      <w:r w:rsidR="00CA1391" w:rsidRPr="003204E2">
        <w:rPr>
          <w:lang w:val="fr-FR"/>
        </w:rPr>
        <w:t>était aussi en cause</w:t>
      </w:r>
      <w:r w:rsidRPr="003204E2">
        <w:rPr>
          <w:lang w:val="fr-FR"/>
        </w:rPr>
        <w:t xml:space="preserve"> en l</w:t>
      </w:r>
      <w:r w:rsidR="003204E2" w:rsidRPr="003204E2">
        <w:rPr>
          <w:lang w:val="fr-FR"/>
        </w:rPr>
        <w:t>’</w:t>
      </w:r>
      <w:r w:rsidRPr="003204E2">
        <w:rPr>
          <w:lang w:val="fr-FR"/>
        </w:rPr>
        <w:t>espèce.</w:t>
      </w:r>
    </w:p>
    <w:p w:rsidR="002B171C" w:rsidRPr="003204E2" w:rsidRDefault="005F279E" w:rsidP="003204E2">
      <w:pPr>
        <w:pStyle w:val="ECHRHeading2"/>
        <w:rPr>
          <w:lang w:val="fr-FR"/>
        </w:rPr>
      </w:pPr>
      <w:r w:rsidRPr="003204E2">
        <w:rPr>
          <w:lang w:val="fr-FR"/>
        </w:rPr>
        <w:t>D</w:t>
      </w:r>
      <w:r w:rsidR="00823CD3" w:rsidRPr="003204E2">
        <w:rPr>
          <w:lang w:val="fr-FR"/>
        </w:rPr>
        <w:t>.  </w:t>
      </w:r>
      <w:r w:rsidR="002B171C" w:rsidRPr="003204E2">
        <w:rPr>
          <w:lang w:val="fr-FR"/>
        </w:rPr>
        <w:t>La procédure devant la Cour de cassation</w:t>
      </w:r>
    </w:p>
    <w:p w:rsidR="002B171C"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22</w:t>
      </w:r>
      <w:r w:rsidRPr="003204E2">
        <w:rPr>
          <w:lang w:val="fr-FR"/>
        </w:rPr>
        <w:fldChar w:fldCharType="end"/>
      </w:r>
      <w:r w:rsidRPr="003204E2">
        <w:rPr>
          <w:lang w:val="fr-FR"/>
        </w:rPr>
        <w:t xml:space="preserve">.  Les requérants se pourvurent en cassation. Ils soutinrent que les communications en objet étaient transmises sur des fréquences en clair et ne pouvaient donc pas être considérées comme étant confidentielles. De plus, ils avaient agi dans leur travail de journalistes, ainsi, </w:t>
      </w:r>
      <w:r w:rsidR="007167E6" w:rsidRPr="003204E2">
        <w:rPr>
          <w:lang w:val="fr-FR"/>
        </w:rPr>
        <w:t>leurs</w:t>
      </w:r>
      <w:r w:rsidRPr="003204E2">
        <w:rPr>
          <w:lang w:val="fr-FR"/>
        </w:rPr>
        <w:t xml:space="preserve"> actions étaient justifiées au sens de l</w:t>
      </w:r>
      <w:r w:rsidR="003204E2" w:rsidRPr="003204E2">
        <w:rPr>
          <w:lang w:val="fr-FR"/>
        </w:rPr>
        <w:t>’</w:t>
      </w:r>
      <w:r w:rsidRPr="003204E2">
        <w:rPr>
          <w:lang w:val="fr-FR"/>
        </w:rPr>
        <w:t>article 51 du code pénal et de la liberté d</w:t>
      </w:r>
      <w:r w:rsidR="00F161AF" w:rsidRPr="003204E2">
        <w:rPr>
          <w:lang w:val="fr-FR"/>
        </w:rPr>
        <w:t>e</w:t>
      </w:r>
      <w:r w:rsidRPr="003204E2">
        <w:rPr>
          <w:lang w:val="fr-FR"/>
        </w:rPr>
        <w:t xml:space="preserve"> presse.</w:t>
      </w:r>
    </w:p>
    <w:p w:rsidR="002B171C"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23</w:t>
      </w:r>
      <w:r w:rsidRPr="003204E2">
        <w:rPr>
          <w:lang w:val="fr-FR"/>
        </w:rPr>
        <w:fldChar w:fldCharType="end"/>
      </w:r>
      <w:r w:rsidRPr="003204E2">
        <w:rPr>
          <w:lang w:val="fr-FR"/>
        </w:rPr>
        <w:t>.  Par un arrêt du 28 octobre 2008, la Cour de cassation débouta les requérants confirmant la position de la cour d</w:t>
      </w:r>
      <w:r w:rsidR="003204E2" w:rsidRPr="003204E2">
        <w:rPr>
          <w:lang w:val="fr-FR"/>
        </w:rPr>
        <w:t>’</w:t>
      </w:r>
      <w:r w:rsidRPr="003204E2">
        <w:rPr>
          <w:lang w:val="fr-FR"/>
        </w:rPr>
        <w:t xml:space="preserve">appel pour ce qui était du caractère confidentiel des communications en cause et réitérant que cette interprétation était conforme à la jurisprudence de la Cour de cassation </w:t>
      </w:r>
      <w:r w:rsidR="00ED4E36" w:rsidRPr="003204E2">
        <w:rPr>
          <w:lang w:val="fr-FR"/>
        </w:rPr>
        <w:t xml:space="preserve">dans des cas similaires, </w:t>
      </w:r>
      <w:r w:rsidRPr="003204E2">
        <w:rPr>
          <w:lang w:val="fr-FR"/>
        </w:rPr>
        <w:t>notamment, les arrêts n</w:t>
      </w:r>
      <w:r w:rsidR="00681DD3" w:rsidRPr="003204E2">
        <w:rPr>
          <w:vertAlign w:val="superscript"/>
          <w:lang w:val="fr-FR"/>
        </w:rPr>
        <w:t>o</w:t>
      </w:r>
      <w:r w:rsidRPr="003204E2">
        <w:rPr>
          <w:lang w:val="fr-FR"/>
        </w:rPr>
        <w:t xml:space="preserve"> 25488 du 6 mai 200</w:t>
      </w:r>
      <w:r w:rsidR="00ED4E36" w:rsidRPr="003204E2">
        <w:rPr>
          <w:lang w:val="fr-FR"/>
        </w:rPr>
        <w:t>4 et n</w:t>
      </w:r>
      <w:r w:rsidR="00681DD3" w:rsidRPr="003204E2">
        <w:rPr>
          <w:vertAlign w:val="superscript"/>
          <w:lang w:val="fr-FR"/>
        </w:rPr>
        <w:t>o</w:t>
      </w:r>
      <w:r w:rsidR="00ED4E36" w:rsidRPr="003204E2">
        <w:rPr>
          <w:lang w:val="fr-FR"/>
        </w:rPr>
        <w:t xml:space="preserve"> 5299 du 15 janvier 2008</w:t>
      </w:r>
      <w:r w:rsidRPr="003204E2">
        <w:rPr>
          <w:lang w:val="fr-FR"/>
        </w:rPr>
        <w:t>.</w:t>
      </w:r>
    </w:p>
    <w:p w:rsidR="00E77CB3" w:rsidRPr="003204E2" w:rsidRDefault="002B171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24</w:t>
      </w:r>
      <w:r w:rsidRPr="003204E2">
        <w:rPr>
          <w:lang w:val="fr-FR"/>
        </w:rPr>
        <w:fldChar w:fldCharType="end"/>
      </w:r>
      <w:r w:rsidRPr="003204E2">
        <w:rPr>
          <w:lang w:val="fr-FR"/>
        </w:rPr>
        <w:t>.  Pour ce qui était de l</w:t>
      </w:r>
      <w:r w:rsidR="003204E2" w:rsidRPr="003204E2">
        <w:rPr>
          <w:lang w:val="fr-FR"/>
        </w:rPr>
        <w:t>’</w:t>
      </w:r>
      <w:r w:rsidRPr="003204E2">
        <w:rPr>
          <w:lang w:val="fr-FR"/>
        </w:rPr>
        <w:t>argument des requérants tiré de la liberté de presse, la Cour indiqua que le droit d</w:t>
      </w:r>
      <w:r w:rsidR="003204E2" w:rsidRPr="003204E2">
        <w:rPr>
          <w:lang w:val="fr-FR"/>
        </w:rPr>
        <w:t>’</w:t>
      </w:r>
      <w:r w:rsidRPr="003204E2">
        <w:rPr>
          <w:lang w:val="fr-FR"/>
        </w:rPr>
        <w:t xml:space="preserve">informer invoqué par </w:t>
      </w:r>
      <w:r w:rsidR="00D95320" w:rsidRPr="003204E2">
        <w:rPr>
          <w:lang w:val="fr-FR"/>
        </w:rPr>
        <w:t>ceux-ci</w:t>
      </w:r>
      <w:r w:rsidRPr="003204E2">
        <w:rPr>
          <w:lang w:val="fr-FR"/>
        </w:rPr>
        <w:t xml:space="preserve"> aurait pu primer sur les intérêts publics protégés par la loi pénale dans un cas éventuel de diffamation. Toutefois, ce droit ne pouvait pas prévaloir dans un cas d</w:t>
      </w:r>
      <w:r w:rsidR="003204E2" w:rsidRPr="003204E2">
        <w:rPr>
          <w:lang w:val="fr-FR"/>
        </w:rPr>
        <w:t>’</w:t>
      </w:r>
      <w:r w:rsidRPr="003204E2">
        <w:rPr>
          <w:lang w:val="fr-FR"/>
        </w:rPr>
        <w:t>interception illégale des communications des forces de l</w:t>
      </w:r>
      <w:r w:rsidR="003204E2" w:rsidRPr="003204E2">
        <w:rPr>
          <w:lang w:val="fr-FR"/>
        </w:rPr>
        <w:t>’</w:t>
      </w:r>
      <w:r w:rsidRPr="003204E2">
        <w:rPr>
          <w:lang w:val="fr-FR"/>
        </w:rPr>
        <w:t>ordre.</w:t>
      </w:r>
    </w:p>
    <w:p w:rsidR="00E77CB3" w:rsidRPr="003204E2" w:rsidRDefault="00E77CB3" w:rsidP="003204E2">
      <w:pPr>
        <w:pStyle w:val="ECHRHeading1"/>
        <w:rPr>
          <w:lang w:val="fr-FR"/>
        </w:rPr>
      </w:pPr>
      <w:r w:rsidRPr="003204E2">
        <w:rPr>
          <w:lang w:val="fr-FR"/>
        </w:rPr>
        <w:t>II.  LE DROIT INTERNE PERTINENT</w:t>
      </w:r>
    </w:p>
    <w:p w:rsidR="003204E2" w:rsidRPr="003204E2" w:rsidRDefault="005F279E" w:rsidP="003204E2">
      <w:pPr>
        <w:pStyle w:val="ECHRHeading2"/>
        <w:rPr>
          <w:lang w:val="fr-FR"/>
        </w:rPr>
      </w:pPr>
      <w:r w:rsidRPr="003204E2">
        <w:rPr>
          <w:lang w:val="fr-FR"/>
        </w:rPr>
        <w:t>A</w:t>
      </w:r>
      <w:r w:rsidR="00823CD3" w:rsidRPr="003204E2">
        <w:rPr>
          <w:lang w:val="fr-FR"/>
        </w:rPr>
        <w:t>.  </w:t>
      </w:r>
      <w:r w:rsidR="00A52098" w:rsidRPr="003204E2">
        <w:rPr>
          <w:lang w:val="fr-FR"/>
        </w:rPr>
        <w:t xml:space="preserve">Les articles </w:t>
      </w:r>
      <w:r w:rsidR="00D95320" w:rsidRPr="003204E2">
        <w:rPr>
          <w:lang w:val="fr-FR"/>
        </w:rPr>
        <w:t>pertinents de la Constitution</w:t>
      </w:r>
    </w:p>
    <w:p w:rsidR="003204E2" w:rsidRPr="003204E2" w:rsidRDefault="0034082E" w:rsidP="003204E2">
      <w:pPr>
        <w:pStyle w:val="ECHRTitleCentre3"/>
        <w:rPr>
          <w:lang w:val="fr-FR"/>
        </w:rPr>
      </w:pPr>
      <w:r w:rsidRPr="003204E2">
        <w:rPr>
          <w:lang w:val="fr-FR"/>
        </w:rPr>
        <w:t>Article 15</w:t>
      </w:r>
    </w:p>
    <w:p w:rsidR="0034082E" w:rsidRPr="003204E2" w:rsidRDefault="0034082E" w:rsidP="003204E2">
      <w:pPr>
        <w:pStyle w:val="ECHRParaQuote"/>
        <w:rPr>
          <w:rFonts w:eastAsiaTheme="minorHAnsi"/>
          <w:lang w:val="fr-FR"/>
        </w:rPr>
      </w:pPr>
      <w:r w:rsidRPr="003204E2">
        <w:rPr>
          <w:rFonts w:eastAsiaTheme="minorHAnsi"/>
          <w:lang w:val="fr-FR"/>
        </w:rPr>
        <w:t>« La liberté et le secret de la correspondance et de toute autre forme de communication sont inviolables.</w:t>
      </w:r>
    </w:p>
    <w:p w:rsidR="0034082E" w:rsidRPr="003204E2" w:rsidRDefault="0034082E" w:rsidP="003204E2">
      <w:pPr>
        <w:pStyle w:val="ECHRParaQuote"/>
        <w:rPr>
          <w:rFonts w:eastAsiaTheme="minorHAnsi"/>
          <w:lang w:val="fr-FR"/>
        </w:rPr>
      </w:pPr>
      <w:r w:rsidRPr="003204E2">
        <w:rPr>
          <w:rFonts w:eastAsiaTheme="minorHAnsi"/>
          <w:lang w:val="fr-FR"/>
        </w:rPr>
        <w:t>Leur limitation ne peut se produire que par un acte motivé de l</w:t>
      </w:r>
      <w:r w:rsidR="003204E2" w:rsidRPr="003204E2">
        <w:rPr>
          <w:rFonts w:eastAsiaTheme="minorHAnsi"/>
          <w:lang w:val="fr-FR"/>
        </w:rPr>
        <w:t>’</w:t>
      </w:r>
      <w:r w:rsidRPr="003204E2">
        <w:rPr>
          <w:rFonts w:eastAsiaTheme="minorHAnsi"/>
          <w:lang w:val="fr-FR"/>
        </w:rPr>
        <w:t>autorité judiciaire et avec les garanties établies par la loi. »</w:t>
      </w:r>
    </w:p>
    <w:p w:rsidR="003204E2" w:rsidRPr="003204E2" w:rsidRDefault="0034082E" w:rsidP="003204E2">
      <w:pPr>
        <w:pStyle w:val="ECHRTitleCentre3"/>
        <w:rPr>
          <w:lang w:val="fr-FR"/>
        </w:rPr>
      </w:pPr>
      <w:r w:rsidRPr="003204E2">
        <w:rPr>
          <w:lang w:val="fr-FR"/>
        </w:rPr>
        <w:t>Article 21</w:t>
      </w:r>
    </w:p>
    <w:p w:rsidR="0034082E" w:rsidRPr="003204E2" w:rsidRDefault="0034082E" w:rsidP="003204E2">
      <w:pPr>
        <w:pStyle w:val="ECHRParaQuote"/>
        <w:rPr>
          <w:rFonts w:eastAsiaTheme="minorHAnsi"/>
          <w:lang w:val="fr-FR"/>
        </w:rPr>
      </w:pPr>
      <w:r w:rsidRPr="003204E2">
        <w:rPr>
          <w:rFonts w:eastAsiaTheme="minorHAnsi"/>
          <w:lang w:val="fr-FR"/>
        </w:rPr>
        <w:t>« Tout individu a le droit de manifester librement sa pensée par la parole, par l</w:t>
      </w:r>
      <w:r w:rsidR="003204E2" w:rsidRPr="003204E2">
        <w:rPr>
          <w:rFonts w:eastAsiaTheme="minorHAnsi"/>
          <w:lang w:val="fr-FR"/>
        </w:rPr>
        <w:t>’</w:t>
      </w:r>
      <w:r w:rsidRPr="003204E2">
        <w:rPr>
          <w:rFonts w:eastAsiaTheme="minorHAnsi"/>
          <w:lang w:val="fr-FR"/>
        </w:rPr>
        <w:t>écrit et par tout autre moyen de diffusion.</w:t>
      </w:r>
    </w:p>
    <w:p w:rsidR="0034082E" w:rsidRPr="003204E2" w:rsidRDefault="0034082E" w:rsidP="003204E2">
      <w:pPr>
        <w:pStyle w:val="ECHRParaQuote"/>
        <w:rPr>
          <w:rFonts w:eastAsiaTheme="minorHAnsi"/>
          <w:lang w:val="fr-FR"/>
        </w:rPr>
      </w:pPr>
      <w:r w:rsidRPr="003204E2">
        <w:rPr>
          <w:rFonts w:eastAsiaTheme="minorHAnsi"/>
          <w:lang w:val="fr-FR"/>
        </w:rPr>
        <w:t>La presse ne peut être soumise à des autorisations ou à des censures.</w:t>
      </w:r>
    </w:p>
    <w:p w:rsidR="0034082E" w:rsidRPr="003204E2" w:rsidRDefault="0034082E" w:rsidP="003204E2">
      <w:pPr>
        <w:pStyle w:val="ECHRParaQuote"/>
        <w:rPr>
          <w:rFonts w:eastAsiaTheme="minorHAnsi"/>
          <w:lang w:val="fr-FR"/>
        </w:rPr>
      </w:pPr>
      <w:r w:rsidRPr="003204E2">
        <w:rPr>
          <w:rFonts w:eastAsiaTheme="minorHAnsi"/>
          <w:lang w:val="fr-FR"/>
        </w:rPr>
        <w:t>Il ne peut être procédé à une saisie que par un acte motivé de l</w:t>
      </w:r>
      <w:r w:rsidR="003204E2" w:rsidRPr="003204E2">
        <w:rPr>
          <w:rFonts w:eastAsiaTheme="minorHAnsi"/>
          <w:lang w:val="fr-FR"/>
        </w:rPr>
        <w:t>’</w:t>
      </w:r>
      <w:r w:rsidRPr="003204E2">
        <w:rPr>
          <w:rFonts w:eastAsiaTheme="minorHAnsi"/>
          <w:lang w:val="fr-FR"/>
        </w:rPr>
        <w:t>autorité judiciaire en cas de délits ou de crimes, pour lesquels la loi sur la presse l</w:t>
      </w:r>
      <w:r w:rsidR="003204E2" w:rsidRPr="003204E2">
        <w:rPr>
          <w:rFonts w:eastAsiaTheme="minorHAnsi"/>
          <w:lang w:val="fr-FR"/>
        </w:rPr>
        <w:t>’</w:t>
      </w:r>
      <w:r w:rsidRPr="003204E2">
        <w:rPr>
          <w:rFonts w:eastAsiaTheme="minorHAnsi"/>
          <w:lang w:val="fr-FR"/>
        </w:rPr>
        <w:t>autorise expressément, ou en cas de violation des règles que la loi elle-même prescrit pour l</w:t>
      </w:r>
      <w:r w:rsidR="003204E2" w:rsidRPr="003204E2">
        <w:rPr>
          <w:rFonts w:eastAsiaTheme="minorHAnsi"/>
          <w:lang w:val="fr-FR"/>
        </w:rPr>
        <w:t>’</w:t>
      </w:r>
      <w:r w:rsidRPr="003204E2">
        <w:rPr>
          <w:rFonts w:eastAsiaTheme="minorHAnsi"/>
          <w:lang w:val="fr-FR"/>
        </w:rPr>
        <w:t>indication des responsables.</w:t>
      </w:r>
    </w:p>
    <w:p w:rsidR="0034082E" w:rsidRPr="003204E2" w:rsidRDefault="0034082E" w:rsidP="003204E2">
      <w:pPr>
        <w:pStyle w:val="ECHRParaQuote"/>
        <w:rPr>
          <w:rFonts w:eastAsiaTheme="minorHAnsi"/>
          <w:lang w:val="fr-FR"/>
        </w:rPr>
      </w:pPr>
      <w:r w:rsidRPr="003204E2">
        <w:rPr>
          <w:rFonts w:eastAsiaTheme="minorHAnsi"/>
          <w:lang w:val="fr-FR"/>
        </w:rPr>
        <w:t>Dans ces cas, lorsque l</w:t>
      </w:r>
      <w:r w:rsidR="003204E2" w:rsidRPr="003204E2">
        <w:rPr>
          <w:rFonts w:eastAsiaTheme="minorHAnsi"/>
          <w:lang w:val="fr-FR"/>
        </w:rPr>
        <w:t>’</w:t>
      </w:r>
      <w:r w:rsidRPr="003204E2">
        <w:rPr>
          <w:rFonts w:eastAsiaTheme="minorHAnsi"/>
          <w:lang w:val="fr-FR"/>
        </w:rPr>
        <w:t>urgence est absolue et que l</w:t>
      </w:r>
      <w:r w:rsidR="003204E2" w:rsidRPr="003204E2">
        <w:rPr>
          <w:rFonts w:eastAsiaTheme="minorHAnsi"/>
          <w:lang w:val="fr-FR"/>
        </w:rPr>
        <w:t>’</w:t>
      </w:r>
      <w:r w:rsidRPr="003204E2">
        <w:rPr>
          <w:rFonts w:eastAsiaTheme="minorHAnsi"/>
          <w:lang w:val="fr-FR"/>
        </w:rPr>
        <w:t>intervention de l</w:t>
      </w:r>
      <w:r w:rsidR="003204E2" w:rsidRPr="003204E2">
        <w:rPr>
          <w:rFonts w:eastAsiaTheme="minorHAnsi"/>
          <w:lang w:val="fr-FR"/>
        </w:rPr>
        <w:t>’</w:t>
      </w:r>
      <w:r w:rsidRPr="003204E2">
        <w:rPr>
          <w:rFonts w:eastAsiaTheme="minorHAnsi"/>
          <w:lang w:val="fr-FR"/>
        </w:rPr>
        <w:t>autorité judiciaire ne peut avoir lieu en temps utile, la saisie de la presse périodique peut être effectuée par des officiers de police judiciaire, qui doivent immédiatement, et au plus tard dans les vingt-quatre heures, en avertir l</w:t>
      </w:r>
      <w:r w:rsidR="003204E2" w:rsidRPr="003204E2">
        <w:rPr>
          <w:rFonts w:eastAsiaTheme="minorHAnsi"/>
          <w:lang w:val="fr-FR"/>
        </w:rPr>
        <w:t>’</w:t>
      </w:r>
      <w:r w:rsidRPr="003204E2">
        <w:rPr>
          <w:rFonts w:eastAsiaTheme="minorHAnsi"/>
          <w:lang w:val="fr-FR"/>
        </w:rPr>
        <w:t>autorité judiciaire. Si celle-ci ne confirme pas la saisie dans les vingt-quatre heures qui suivent, la saisie est considérée comme révoquée et privée de tout effet.</w:t>
      </w:r>
    </w:p>
    <w:p w:rsidR="0034082E" w:rsidRPr="003204E2" w:rsidRDefault="0034082E" w:rsidP="003204E2">
      <w:pPr>
        <w:pStyle w:val="ECHRParaQuote"/>
        <w:rPr>
          <w:rFonts w:eastAsiaTheme="minorHAnsi"/>
          <w:lang w:val="fr-FR"/>
        </w:rPr>
      </w:pPr>
      <w:r w:rsidRPr="003204E2">
        <w:rPr>
          <w:rFonts w:eastAsiaTheme="minorHAnsi"/>
          <w:lang w:val="fr-FR"/>
        </w:rPr>
        <w:lastRenderedPageBreak/>
        <w:t>La loi peut établir, par des règles de caractère général, que les moyens de financement de la presse périodique soient rendus publics.</w:t>
      </w:r>
    </w:p>
    <w:p w:rsidR="0034082E" w:rsidRPr="003204E2" w:rsidRDefault="0034082E" w:rsidP="003204E2">
      <w:pPr>
        <w:pStyle w:val="ECHRParaQuote"/>
        <w:rPr>
          <w:i/>
          <w:lang w:val="fr-FR"/>
        </w:rPr>
      </w:pPr>
      <w:r w:rsidRPr="003204E2">
        <w:rPr>
          <w:rFonts w:eastAsiaTheme="minorHAnsi"/>
          <w:lang w:val="fr-FR"/>
        </w:rPr>
        <w:t>Sont interdits les imprimés, les spectacles et toutes les autres manifestations contraires aux bonnes mœurs. La loi fixe les mesures aptes à prévenir et à réprimer les violations. »</w:t>
      </w:r>
    </w:p>
    <w:p w:rsidR="003204E2" w:rsidRPr="003204E2" w:rsidRDefault="005F279E" w:rsidP="003204E2">
      <w:pPr>
        <w:pStyle w:val="ECHRHeading2"/>
        <w:rPr>
          <w:lang w:val="fr-FR"/>
        </w:rPr>
      </w:pPr>
      <w:r w:rsidRPr="003204E2">
        <w:rPr>
          <w:lang w:val="fr-FR"/>
        </w:rPr>
        <w:t>B</w:t>
      </w:r>
      <w:r w:rsidR="00823CD3" w:rsidRPr="003204E2">
        <w:rPr>
          <w:lang w:val="fr-FR"/>
        </w:rPr>
        <w:t>.  </w:t>
      </w:r>
      <w:r w:rsidR="00A52098" w:rsidRPr="003204E2">
        <w:rPr>
          <w:lang w:val="fr-FR"/>
        </w:rPr>
        <w:t>Les articles pertinents du code pénal</w:t>
      </w:r>
    </w:p>
    <w:p w:rsidR="00823CD3" w:rsidRPr="003204E2" w:rsidRDefault="00324FD4" w:rsidP="003204E2">
      <w:pPr>
        <w:pStyle w:val="ECHRTitleCentre3"/>
        <w:spacing w:before="0" w:after="0"/>
        <w:rPr>
          <w:rStyle w:val="hps"/>
          <w:lang w:val="fr-FR"/>
        </w:rPr>
      </w:pPr>
      <w:r w:rsidRPr="003204E2">
        <w:rPr>
          <w:rStyle w:val="hps"/>
          <w:lang w:val="fr-FR"/>
        </w:rPr>
        <w:t>Article 51 § 1</w:t>
      </w:r>
      <w:r w:rsidR="00494D14" w:rsidRPr="003204E2">
        <w:rPr>
          <w:rStyle w:val="hps"/>
          <w:lang w:val="fr-FR"/>
        </w:rPr>
        <w:t xml:space="preserve"> : </w:t>
      </w:r>
      <w:r w:rsidR="00823CD3" w:rsidRPr="003204E2">
        <w:rPr>
          <w:rStyle w:val="hps"/>
          <w:lang w:val="fr-FR"/>
        </w:rPr>
        <w:t>Exercice d</w:t>
      </w:r>
      <w:r w:rsidR="003204E2" w:rsidRPr="003204E2">
        <w:rPr>
          <w:rStyle w:val="hps"/>
          <w:lang w:val="fr-FR"/>
        </w:rPr>
        <w:t>’</w:t>
      </w:r>
      <w:r w:rsidR="00823CD3" w:rsidRPr="003204E2">
        <w:rPr>
          <w:rStyle w:val="hps"/>
          <w:lang w:val="fr-FR"/>
        </w:rPr>
        <w:t>un droit</w:t>
      </w:r>
    </w:p>
    <w:p w:rsidR="00324FD4" w:rsidRPr="003204E2" w:rsidRDefault="00324FD4" w:rsidP="003204E2">
      <w:pPr>
        <w:pStyle w:val="ECHRTitleCentre3"/>
        <w:spacing w:before="0" w:after="0"/>
        <w:rPr>
          <w:rStyle w:val="hps"/>
          <w:lang w:val="fr-FR"/>
        </w:rPr>
      </w:pPr>
      <w:r w:rsidRPr="003204E2">
        <w:rPr>
          <w:rStyle w:val="hps"/>
          <w:lang w:val="fr-FR"/>
        </w:rPr>
        <w:t>ou accomplissement d</w:t>
      </w:r>
      <w:r w:rsidR="003204E2" w:rsidRPr="003204E2">
        <w:rPr>
          <w:rStyle w:val="hps"/>
          <w:lang w:val="fr-FR"/>
        </w:rPr>
        <w:t>’</w:t>
      </w:r>
      <w:r w:rsidRPr="003204E2">
        <w:rPr>
          <w:rStyle w:val="hps"/>
          <w:lang w:val="fr-FR"/>
        </w:rPr>
        <w:t>une obligation</w:t>
      </w:r>
    </w:p>
    <w:p w:rsidR="00324FD4" w:rsidRPr="003204E2" w:rsidRDefault="00324FD4" w:rsidP="003204E2">
      <w:pPr>
        <w:pStyle w:val="ECHRParaQuote"/>
        <w:rPr>
          <w:lang w:val="fr-FR"/>
        </w:rPr>
      </w:pPr>
      <w:r w:rsidRPr="003204E2">
        <w:rPr>
          <w:rStyle w:val="hps"/>
          <w:szCs w:val="24"/>
          <w:lang w:val="fr-FR"/>
        </w:rPr>
        <w:t>« L</w:t>
      </w:r>
      <w:r w:rsidR="003204E2" w:rsidRPr="003204E2">
        <w:rPr>
          <w:rStyle w:val="hps"/>
          <w:szCs w:val="24"/>
          <w:lang w:val="fr-FR"/>
        </w:rPr>
        <w:t>’</w:t>
      </w:r>
      <w:r w:rsidRPr="003204E2">
        <w:rPr>
          <w:rStyle w:val="hps"/>
          <w:szCs w:val="24"/>
          <w:lang w:val="fr-FR"/>
        </w:rPr>
        <w:t>exercice d</w:t>
      </w:r>
      <w:r w:rsidR="003204E2" w:rsidRPr="003204E2">
        <w:rPr>
          <w:rStyle w:val="hps"/>
          <w:szCs w:val="24"/>
          <w:lang w:val="fr-FR"/>
        </w:rPr>
        <w:t>’</w:t>
      </w:r>
      <w:r w:rsidRPr="003204E2">
        <w:rPr>
          <w:rStyle w:val="hps"/>
          <w:szCs w:val="24"/>
          <w:lang w:val="fr-FR"/>
        </w:rPr>
        <w:t>un droit ou l</w:t>
      </w:r>
      <w:r w:rsidR="003204E2" w:rsidRPr="003204E2">
        <w:rPr>
          <w:rStyle w:val="hps"/>
          <w:szCs w:val="24"/>
          <w:lang w:val="fr-FR"/>
        </w:rPr>
        <w:t>’</w:t>
      </w:r>
      <w:r w:rsidRPr="003204E2">
        <w:rPr>
          <w:rStyle w:val="hps"/>
          <w:szCs w:val="24"/>
          <w:lang w:val="fr-FR"/>
        </w:rPr>
        <w:t>accomplissement d</w:t>
      </w:r>
      <w:r w:rsidR="003204E2" w:rsidRPr="003204E2">
        <w:rPr>
          <w:rStyle w:val="hps"/>
          <w:szCs w:val="24"/>
          <w:lang w:val="fr-FR"/>
        </w:rPr>
        <w:t>’</w:t>
      </w:r>
      <w:r w:rsidRPr="003204E2">
        <w:rPr>
          <w:rStyle w:val="hps"/>
          <w:szCs w:val="24"/>
          <w:lang w:val="fr-FR"/>
        </w:rPr>
        <w:t>une obligation</w:t>
      </w:r>
      <w:r w:rsidRPr="003204E2">
        <w:rPr>
          <w:lang w:val="fr-FR"/>
        </w:rPr>
        <w:t xml:space="preserve"> imposée par une mesure juridique ou par un ordre légitime de l</w:t>
      </w:r>
      <w:r w:rsidR="003204E2" w:rsidRPr="003204E2">
        <w:rPr>
          <w:lang w:val="fr-FR"/>
        </w:rPr>
        <w:t>’</w:t>
      </w:r>
      <w:r w:rsidRPr="003204E2">
        <w:rPr>
          <w:lang w:val="fr-FR"/>
        </w:rPr>
        <w:t>autorité publique ne sont pas punissables (</w:t>
      </w:r>
      <w:r w:rsidR="00681DD3" w:rsidRPr="003204E2">
        <w:rPr>
          <w:lang w:val="fr-FR"/>
        </w:rPr>
        <w:t>...</w:t>
      </w:r>
      <w:r w:rsidRPr="003204E2">
        <w:rPr>
          <w:lang w:val="fr-FR"/>
        </w:rPr>
        <w:t>). »</w:t>
      </w:r>
    </w:p>
    <w:p w:rsidR="004E7260" w:rsidRPr="003204E2" w:rsidRDefault="00324FD4" w:rsidP="003204E2">
      <w:pPr>
        <w:pStyle w:val="ECHRTitleCentre3"/>
        <w:rPr>
          <w:lang w:val="fr-FR"/>
        </w:rPr>
      </w:pPr>
      <w:r w:rsidRPr="003204E2">
        <w:rPr>
          <w:lang w:val="fr-FR"/>
        </w:rPr>
        <w:t>Article 2</w:t>
      </w:r>
      <w:r w:rsidR="006F1565" w:rsidRPr="003204E2">
        <w:rPr>
          <w:lang w:val="fr-FR"/>
        </w:rPr>
        <w:t>53</w:t>
      </w:r>
      <w:r w:rsidR="00494D14" w:rsidRPr="003204E2">
        <w:rPr>
          <w:lang w:val="fr-FR"/>
        </w:rPr>
        <w:t xml:space="preserve"> : </w:t>
      </w:r>
      <w:r w:rsidR="006F1565" w:rsidRPr="003204E2">
        <w:rPr>
          <w:lang w:val="fr-FR"/>
        </w:rPr>
        <w:t>Saisie</w:t>
      </w:r>
    </w:p>
    <w:p w:rsidR="003204E2" w:rsidRPr="003204E2" w:rsidRDefault="00324FD4" w:rsidP="003204E2">
      <w:pPr>
        <w:pStyle w:val="JuQuotSub"/>
        <w:rPr>
          <w:lang w:val="fr-FR"/>
        </w:rPr>
      </w:pPr>
      <w:r w:rsidRPr="003204E2">
        <w:rPr>
          <w:lang w:val="fr-FR"/>
        </w:rPr>
        <w:t>« </w:t>
      </w:r>
      <w:r w:rsidR="006F1565" w:rsidRPr="003204E2">
        <w:rPr>
          <w:lang w:val="fr-FR"/>
        </w:rPr>
        <w:t>Par une décision motivée, l</w:t>
      </w:r>
      <w:r w:rsidR="003204E2" w:rsidRPr="003204E2">
        <w:rPr>
          <w:lang w:val="fr-FR"/>
        </w:rPr>
        <w:t>’</w:t>
      </w:r>
      <w:r w:rsidR="006F1565" w:rsidRPr="003204E2">
        <w:rPr>
          <w:lang w:val="fr-FR"/>
        </w:rPr>
        <w:t>autorité judiciaire peut ordonner la saisie du corps du délit (</w:t>
      </w:r>
      <w:r w:rsidR="00681DD3" w:rsidRPr="003204E2">
        <w:rPr>
          <w:lang w:val="fr-FR"/>
        </w:rPr>
        <w:t>...</w:t>
      </w:r>
      <w:r w:rsidR="006F1565" w:rsidRPr="003204E2">
        <w:rPr>
          <w:lang w:val="fr-FR"/>
        </w:rPr>
        <w:t>)</w:t>
      </w:r>
      <w:r w:rsidRPr="003204E2">
        <w:rPr>
          <w:lang w:val="fr-FR"/>
        </w:rPr>
        <w:t>. »</w:t>
      </w:r>
    </w:p>
    <w:p w:rsidR="00823CD3" w:rsidRPr="003204E2" w:rsidRDefault="0034082E" w:rsidP="003204E2">
      <w:pPr>
        <w:pStyle w:val="ECHRTitleCentre3"/>
        <w:spacing w:after="0"/>
        <w:rPr>
          <w:lang w:val="fr-FR"/>
        </w:rPr>
      </w:pPr>
      <w:r w:rsidRPr="003204E2">
        <w:rPr>
          <w:lang w:val="fr-FR"/>
        </w:rPr>
        <w:t>Article 617</w:t>
      </w:r>
      <w:r w:rsidR="00494D14" w:rsidRPr="003204E2">
        <w:rPr>
          <w:lang w:val="fr-FR"/>
        </w:rPr>
        <w:t xml:space="preserve"> : </w:t>
      </w:r>
      <w:r w:rsidRPr="003204E2">
        <w:rPr>
          <w:lang w:val="fr-FR"/>
        </w:rPr>
        <w:t>Pris</w:t>
      </w:r>
      <w:r w:rsidR="00823CD3" w:rsidRPr="003204E2">
        <w:rPr>
          <w:lang w:val="fr-FR"/>
        </w:rPr>
        <w:t>e de connaissance, interruption</w:t>
      </w:r>
    </w:p>
    <w:p w:rsidR="001B26E1" w:rsidRPr="003204E2" w:rsidRDefault="0034082E" w:rsidP="003204E2">
      <w:pPr>
        <w:pStyle w:val="ECHRTitleCentre3"/>
        <w:spacing w:before="0" w:after="0"/>
        <w:rPr>
          <w:lang w:val="fr-FR"/>
        </w:rPr>
      </w:pPr>
      <w:r w:rsidRPr="003204E2">
        <w:rPr>
          <w:lang w:val="fr-FR"/>
        </w:rPr>
        <w:t>ou empêchement illicites de communication ou conversations</w:t>
      </w:r>
    </w:p>
    <w:p w:rsidR="0034082E" w:rsidRPr="003204E2" w:rsidRDefault="0034082E" w:rsidP="003204E2">
      <w:pPr>
        <w:pStyle w:val="ECHRTitleCentre3"/>
        <w:spacing w:before="0"/>
        <w:rPr>
          <w:lang w:val="fr-FR"/>
        </w:rPr>
      </w:pPr>
      <w:r w:rsidRPr="003204E2">
        <w:rPr>
          <w:lang w:val="fr-FR"/>
        </w:rPr>
        <w:t xml:space="preserve"> té</w:t>
      </w:r>
      <w:r w:rsidR="004E7260" w:rsidRPr="003204E2">
        <w:rPr>
          <w:lang w:val="fr-FR"/>
        </w:rPr>
        <w:t>légraphiques ou téléphoniques</w:t>
      </w:r>
    </w:p>
    <w:p w:rsidR="0034082E" w:rsidRPr="003204E2" w:rsidRDefault="0034082E" w:rsidP="003204E2">
      <w:pPr>
        <w:pStyle w:val="ECHRParaQuote"/>
        <w:rPr>
          <w:lang w:val="fr-FR"/>
        </w:rPr>
      </w:pPr>
      <w:r w:rsidRPr="003204E2">
        <w:rPr>
          <w:lang w:val="fr-FR"/>
        </w:rPr>
        <w:t>« La personne prenant connaissance de manière frauduleuse d</w:t>
      </w:r>
      <w:r w:rsidR="003204E2" w:rsidRPr="003204E2">
        <w:rPr>
          <w:lang w:val="fr-FR"/>
        </w:rPr>
        <w:t>’</w:t>
      </w:r>
      <w:r w:rsidRPr="003204E2">
        <w:rPr>
          <w:lang w:val="fr-FR"/>
        </w:rPr>
        <w:t>une communication ou d</w:t>
      </w:r>
      <w:r w:rsidR="003204E2" w:rsidRPr="003204E2">
        <w:rPr>
          <w:lang w:val="fr-FR"/>
        </w:rPr>
        <w:t>’</w:t>
      </w:r>
      <w:r w:rsidRPr="003204E2">
        <w:rPr>
          <w:lang w:val="fr-FR"/>
        </w:rPr>
        <w:t>une conversation, téléphonique ou télégraphique, entre autres personnes ou, en tout cas, qui ne lui est pas adressée, ou bien l</w:t>
      </w:r>
      <w:r w:rsidR="003204E2" w:rsidRPr="003204E2">
        <w:rPr>
          <w:lang w:val="fr-FR"/>
        </w:rPr>
        <w:t>’</w:t>
      </w:r>
      <w:r w:rsidRPr="003204E2">
        <w:rPr>
          <w:lang w:val="fr-FR"/>
        </w:rPr>
        <w:t>interrompt ou l</w:t>
      </w:r>
      <w:r w:rsidR="003204E2" w:rsidRPr="003204E2">
        <w:rPr>
          <w:lang w:val="fr-FR"/>
        </w:rPr>
        <w:t>’</w:t>
      </w:r>
      <w:r w:rsidRPr="003204E2">
        <w:rPr>
          <w:lang w:val="fr-FR"/>
        </w:rPr>
        <w:t>empêche est punie par une peine allant de six mois à quatre ans de réclusion.</w:t>
      </w:r>
    </w:p>
    <w:p w:rsidR="0034082E" w:rsidRPr="003204E2" w:rsidRDefault="0034082E" w:rsidP="003204E2">
      <w:pPr>
        <w:pStyle w:val="ECHRParaQuote"/>
        <w:rPr>
          <w:lang w:val="fr-FR"/>
        </w:rPr>
      </w:pPr>
      <w:r w:rsidRPr="003204E2">
        <w:rPr>
          <w:lang w:val="fr-FR"/>
        </w:rPr>
        <w:t>Faite exception pour l</w:t>
      </w:r>
      <w:r w:rsidR="003204E2" w:rsidRPr="003204E2">
        <w:rPr>
          <w:lang w:val="fr-FR"/>
        </w:rPr>
        <w:t>’</w:t>
      </w:r>
      <w:r w:rsidRPr="003204E2">
        <w:rPr>
          <w:lang w:val="fr-FR"/>
        </w:rPr>
        <w:t>applicabilité d</w:t>
      </w:r>
      <w:r w:rsidR="003204E2" w:rsidRPr="003204E2">
        <w:rPr>
          <w:lang w:val="fr-FR"/>
        </w:rPr>
        <w:t>’</w:t>
      </w:r>
      <w:r w:rsidRPr="003204E2">
        <w:rPr>
          <w:lang w:val="fr-FR"/>
        </w:rPr>
        <w:t>une peine plus grave, la peine mentionnée ci-dessus est applicable aussi à la personne qui révèle, par tout moyen d</w:t>
      </w:r>
      <w:r w:rsidR="003204E2" w:rsidRPr="003204E2">
        <w:rPr>
          <w:lang w:val="fr-FR"/>
        </w:rPr>
        <w:t>’</w:t>
      </w:r>
      <w:r w:rsidRPr="003204E2">
        <w:rPr>
          <w:lang w:val="fr-FR"/>
        </w:rPr>
        <w:t>information, au public, intégralement ou partiellement, le contenu de communications ou conversations dont il est fait menti</w:t>
      </w:r>
      <w:r w:rsidR="00655657" w:rsidRPr="003204E2">
        <w:rPr>
          <w:lang w:val="fr-FR"/>
        </w:rPr>
        <w:t>on à l</w:t>
      </w:r>
      <w:r w:rsidR="003204E2" w:rsidRPr="003204E2">
        <w:rPr>
          <w:lang w:val="fr-FR"/>
        </w:rPr>
        <w:t>’</w:t>
      </w:r>
      <w:r w:rsidR="00655657" w:rsidRPr="003204E2">
        <w:rPr>
          <w:lang w:val="fr-FR"/>
        </w:rPr>
        <w:t xml:space="preserve">alinéa 1 de cet article. </w:t>
      </w:r>
      <w:r w:rsidRPr="003204E2">
        <w:rPr>
          <w:lang w:val="fr-FR"/>
        </w:rPr>
        <w:t>(</w:t>
      </w:r>
      <w:r w:rsidR="00681DD3" w:rsidRPr="003204E2">
        <w:rPr>
          <w:lang w:val="fr-FR"/>
        </w:rPr>
        <w:t>...</w:t>
      </w:r>
      <w:r w:rsidRPr="003204E2">
        <w:rPr>
          <w:lang w:val="fr-FR"/>
        </w:rPr>
        <w:t>) »</w:t>
      </w:r>
    </w:p>
    <w:p w:rsidR="001B26E1" w:rsidRPr="003204E2" w:rsidRDefault="0034082E" w:rsidP="003204E2">
      <w:pPr>
        <w:pStyle w:val="ECHRTitleCentre3"/>
        <w:spacing w:after="0"/>
        <w:rPr>
          <w:lang w:val="fr-FR"/>
        </w:rPr>
      </w:pPr>
      <w:r w:rsidRPr="003204E2">
        <w:rPr>
          <w:lang w:val="fr-FR"/>
        </w:rPr>
        <w:t xml:space="preserve">Article 617 </w:t>
      </w:r>
      <w:r w:rsidRPr="003204E2">
        <w:rPr>
          <w:i/>
          <w:lang w:val="fr-FR"/>
        </w:rPr>
        <w:t>bis</w:t>
      </w:r>
      <w:r w:rsidR="00494D14" w:rsidRPr="003204E2">
        <w:rPr>
          <w:i/>
          <w:lang w:val="fr-FR"/>
        </w:rPr>
        <w:t xml:space="preserve"> : </w:t>
      </w:r>
      <w:r w:rsidRPr="003204E2">
        <w:rPr>
          <w:lang w:val="fr-FR"/>
        </w:rPr>
        <w:t xml:space="preserve">Installation </w:t>
      </w:r>
      <w:r w:rsidR="001B26E1" w:rsidRPr="003204E2">
        <w:rPr>
          <w:lang w:val="fr-FR"/>
        </w:rPr>
        <w:t>d</w:t>
      </w:r>
      <w:r w:rsidR="003204E2" w:rsidRPr="003204E2">
        <w:rPr>
          <w:lang w:val="fr-FR"/>
        </w:rPr>
        <w:t>’</w:t>
      </w:r>
      <w:r w:rsidR="001B26E1" w:rsidRPr="003204E2">
        <w:rPr>
          <w:lang w:val="fr-FR"/>
        </w:rPr>
        <w:t>appareils pouvant intercepter</w:t>
      </w:r>
    </w:p>
    <w:p w:rsidR="001B26E1" w:rsidRPr="003204E2" w:rsidRDefault="0034082E" w:rsidP="003204E2">
      <w:pPr>
        <w:pStyle w:val="ECHRTitleCentre3"/>
        <w:spacing w:before="0" w:after="0"/>
        <w:rPr>
          <w:lang w:val="fr-FR"/>
        </w:rPr>
      </w:pPr>
      <w:r w:rsidRPr="003204E2">
        <w:rPr>
          <w:lang w:val="fr-FR"/>
        </w:rPr>
        <w:t xml:space="preserve">ou empêcher des </w:t>
      </w:r>
      <w:r w:rsidR="001B26E1" w:rsidRPr="003204E2">
        <w:rPr>
          <w:lang w:val="fr-FR"/>
        </w:rPr>
        <w:t>communications ou conversations</w:t>
      </w:r>
    </w:p>
    <w:p w:rsidR="0034082E" w:rsidRPr="003204E2" w:rsidRDefault="0034082E" w:rsidP="003204E2">
      <w:pPr>
        <w:pStyle w:val="ECHRTitleCentre3"/>
        <w:spacing w:before="0"/>
        <w:rPr>
          <w:lang w:val="fr-FR"/>
        </w:rPr>
      </w:pPr>
      <w:r w:rsidRPr="003204E2">
        <w:rPr>
          <w:lang w:val="fr-FR"/>
        </w:rPr>
        <w:t>té</w:t>
      </w:r>
      <w:r w:rsidR="00EF3143" w:rsidRPr="003204E2">
        <w:rPr>
          <w:lang w:val="fr-FR"/>
        </w:rPr>
        <w:t>léphoniques ou télégraphiques</w:t>
      </w:r>
    </w:p>
    <w:p w:rsidR="0034082E" w:rsidRPr="003204E2" w:rsidRDefault="0034082E" w:rsidP="003204E2">
      <w:pPr>
        <w:pStyle w:val="ECHRParaQuote"/>
        <w:rPr>
          <w:lang w:val="fr-FR"/>
        </w:rPr>
      </w:pPr>
      <w:r w:rsidRPr="003204E2">
        <w:rPr>
          <w:lang w:val="fr-FR"/>
        </w:rPr>
        <w:t>« La personne qui, en dehors des cas prévus par la loi, installe des appareils, instruments, parties d</w:t>
      </w:r>
      <w:r w:rsidR="003204E2" w:rsidRPr="003204E2">
        <w:rPr>
          <w:lang w:val="fr-FR"/>
        </w:rPr>
        <w:t>’</w:t>
      </w:r>
      <w:r w:rsidRPr="003204E2">
        <w:rPr>
          <w:lang w:val="fr-FR"/>
        </w:rPr>
        <w:t>appareils ou d</w:t>
      </w:r>
      <w:r w:rsidR="003204E2" w:rsidRPr="003204E2">
        <w:rPr>
          <w:lang w:val="fr-FR"/>
        </w:rPr>
        <w:t>’</w:t>
      </w:r>
      <w:r w:rsidRPr="003204E2">
        <w:rPr>
          <w:lang w:val="fr-FR"/>
        </w:rPr>
        <w:t>instruments dans le but d</w:t>
      </w:r>
      <w:r w:rsidR="003204E2" w:rsidRPr="003204E2">
        <w:rPr>
          <w:lang w:val="fr-FR"/>
        </w:rPr>
        <w:t>’</w:t>
      </w:r>
      <w:r w:rsidRPr="003204E2">
        <w:rPr>
          <w:lang w:val="fr-FR"/>
        </w:rPr>
        <w:t>intercepter ou empêcher des communications ou conversations téléphoniques ou télégraphiques entre d</w:t>
      </w:r>
      <w:r w:rsidR="003204E2" w:rsidRPr="003204E2">
        <w:rPr>
          <w:lang w:val="fr-FR"/>
        </w:rPr>
        <w:t>’</w:t>
      </w:r>
      <w:r w:rsidRPr="003204E2">
        <w:rPr>
          <w:lang w:val="fr-FR"/>
        </w:rPr>
        <w:t>autres personnes est punie par une peine allant de un à quatre ans de réclusion (</w:t>
      </w:r>
      <w:r w:rsidR="00681DD3" w:rsidRPr="003204E2">
        <w:rPr>
          <w:lang w:val="fr-FR"/>
        </w:rPr>
        <w:t>...</w:t>
      </w:r>
      <w:r w:rsidRPr="003204E2">
        <w:rPr>
          <w:lang w:val="fr-FR"/>
        </w:rPr>
        <w:t>). »</w:t>
      </w:r>
    </w:p>
    <w:p w:rsidR="001B26E1" w:rsidRPr="003204E2" w:rsidRDefault="0034082E" w:rsidP="003204E2">
      <w:pPr>
        <w:pStyle w:val="ECHRTitleCentre3"/>
        <w:spacing w:after="0"/>
        <w:rPr>
          <w:lang w:val="fr-FR"/>
        </w:rPr>
      </w:pPr>
      <w:r w:rsidRPr="003204E2">
        <w:rPr>
          <w:lang w:val="fr-FR"/>
        </w:rPr>
        <w:t xml:space="preserve">Article 623 </w:t>
      </w:r>
      <w:r w:rsidRPr="003204E2">
        <w:rPr>
          <w:i/>
          <w:lang w:val="fr-FR"/>
        </w:rPr>
        <w:t>bis</w:t>
      </w:r>
      <w:r w:rsidR="00494D14" w:rsidRPr="003204E2">
        <w:rPr>
          <w:i/>
          <w:lang w:val="fr-FR"/>
        </w:rPr>
        <w:t xml:space="preserve"> : </w:t>
      </w:r>
      <w:r w:rsidRPr="003204E2">
        <w:rPr>
          <w:lang w:val="fr-FR"/>
        </w:rPr>
        <w:t>Autres co</w:t>
      </w:r>
      <w:r w:rsidR="00F570D0" w:rsidRPr="003204E2">
        <w:rPr>
          <w:lang w:val="fr-FR"/>
        </w:rPr>
        <w:t>mmunications ou conversations</w:t>
      </w:r>
    </w:p>
    <w:p w:rsidR="0034082E" w:rsidRPr="003204E2" w:rsidRDefault="0034082E" w:rsidP="003204E2">
      <w:pPr>
        <w:pStyle w:val="ECHRTitleCentre3"/>
        <w:spacing w:before="0"/>
        <w:rPr>
          <w:lang w:val="fr-FR"/>
        </w:rPr>
      </w:pPr>
      <w:r w:rsidRPr="003204E2">
        <w:rPr>
          <w:lang w:val="fr-FR"/>
        </w:rPr>
        <w:t>(tel que modifié par la loi n</w:t>
      </w:r>
      <w:r w:rsidR="00681DD3" w:rsidRPr="003204E2">
        <w:rPr>
          <w:rStyle w:val="hps"/>
          <w:szCs w:val="24"/>
          <w:vertAlign w:val="superscript"/>
          <w:lang w:val="fr-FR"/>
        </w:rPr>
        <w:t>o</w:t>
      </w:r>
      <w:r w:rsidR="00F570D0" w:rsidRPr="003204E2">
        <w:rPr>
          <w:rStyle w:val="hps"/>
          <w:szCs w:val="24"/>
          <w:lang w:val="fr-FR"/>
        </w:rPr>
        <w:t xml:space="preserve"> 547 du 23 novembre 1993)</w:t>
      </w:r>
    </w:p>
    <w:p w:rsidR="0034082E" w:rsidRPr="003204E2" w:rsidRDefault="0034082E" w:rsidP="003204E2">
      <w:pPr>
        <w:pStyle w:val="ECHRParaQuote"/>
        <w:rPr>
          <w:lang w:val="fr-FR"/>
        </w:rPr>
      </w:pPr>
      <w:r w:rsidRPr="003204E2">
        <w:rPr>
          <w:lang w:val="fr-FR"/>
        </w:rPr>
        <w:t>« Les dispositions contenues dans la présente section, relativement aux communications et conversations télégraphiques, téléphoniques, informatiques ou télématiques s</w:t>
      </w:r>
      <w:r w:rsidR="003204E2" w:rsidRPr="003204E2">
        <w:rPr>
          <w:lang w:val="fr-FR"/>
        </w:rPr>
        <w:t>’</w:t>
      </w:r>
      <w:r w:rsidRPr="003204E2">
        <w:rPr>
          <w:lang w:val="fr-FR"/>
        </w:rPr>
        <w:t>appliquent à n</w:t>
      </w:r>
      <w:r w:rsidR="003204E2" w:rsidRPr="003204E2">
        <w:rPr>
          <w:lang w:val="fr-FR"/>
        </w:rPr>
        <w:t>’</w:t>
      </w:r>
      <w:r w:rsidRPr="003204E2">
        <w:rPr>
          <w:lang w:val="fr-FR"/>
        </w:rPr>
        <w:t>importe quelle autre transmission à distance de sons, images ou d</w:t>
      </w:r>
      <w:r w:rsidR="003204E2" w:rsidRPr="003204E2">
        <w:rPr>
          <w:lang w:val="fr-FR"/>
        </w:rPr>
        <w:t>’</w:t>
      </w:r>
      <w:r w:rsidRPr="003204E2">
        <w:rPr>
          <w:lang w:val="fr-FR"/>
        </w:rPr>
        <w:t>autres données »</w:t>
      </w:r>
    </w:p>
    <w:p w:rsidR="00E22562" w:rsidRPr="003204E2" w:rsidRDefault="00E22562" w:rsidP="003204E2">
      <w:pPr>
        <w:pStyle w:val="ECHRParaQuote"/>
        <w:rPr>
          <w:lang w:val="fr-FR"/>
        </w:rPr>
      </w:pPr>
    </w:p>
    <w:p w:rsidR="001350E3" w:rsidRPr="003204E2" w:rsidRDefault="001350E3" w:rsidP="003204E2">
      <w:pPr>
        <w:pStyle w:val="ECHRTitleCentre3"/>
        <w:rPr>
          <w:lang w:val="fr-FR"/>
        </w:rPr>
      </w:pPr>
      <w:r w:rsidRPr="003204E2">
        <w:rPr>
          <w:lang w:val="fr-FR"/>
        </w:rPr>
        <w:lastRenderedPageBreak/>
        <w:t>Article 684</w:t>
      </w:r>
      <w:r w:rsidR="00494D14" w:rsidRPr="003204E2">
        <w:rPr>
          <w:lang w:val="fr-FR"/>
        </w:rPr>
        <w:t xml:space="preserve"> : </w:t>
      </w:r>
      <w:r w:rsidRPr="003204E2">
        <w:rPr>
          <w:lang w:val="fr-FR"/>
        </w:rPr>
        <w:t>Publication arbitraire d</w:t>
      </w:r>
      <w:r w:rsidR="003204E2" w:rsidRPr="003204E2">
        <w:rPr>
          <w:lang w:val="fr-FR"/>
        </w:rPr>
        <w:t>’</w:t>
      </w:r>
      <w:r w:rsidRPr="003204E2">
        <w:rPr>
          <w:lang w:val="fr-FR"/>
        </w:rPr>
        <w:t>actes tenant à une procédure pénale</w:t>
      </w:r>
    </w:p>
    <w:p w:rsidR="001350E3" w:rsidRPr="003204E2" w:rsidRDefault="001350E3" w:rsidP="003204E2">
      <w:pPr>
        <w:pStyle w:val="ECHRParaQuote"/>
        <w:keepNext/>
        <w:keepLines/>
        <w:rPr>
          <w:lang w:val="fr-FR"/>
        </w:rPr>
      </w:pPr>
      <w:r w:rsidRPr="003204E2">
        <w:rPr>
          <w:lang w:val="fr-FR"/>
        </w:rPr>
        <w:t>« La personne qui publie, intégralement ou en partie (</w:t>
      </w:r>
      <w:r w:rsidR="00681DD3" w:rsidRPr="003204E2">
        <w:rPr>
          <w:lang w:val="fr-FR"/>
        </w:rPr>
        <w:t>...</w:t>
      </w:r>
      <w:r w:rsidRPr="003204E2">
        <w:rPr>
          <w:lang w:val="fr-FR"/>
        </w:rPr>
        <w:t>) des actes ou des documents tenant à une procédure pénale, dont la publication est interdite par la loi, est punie par l</w:t>
      </w:r>
      <w:r w:rsidR="003204E2" w:rsidRPr="003204E2">
        <w:rPr>
          <w:lang w:val="fr-FR"/>
        </w:rPr>
        <w:t>’</w:t>
      </w:r>
      <w:r w:rsidRPr="003204E2">
        <w:rPr>
          <w:lang w:val="fr-FR"/>
        </w:rPr>
        <w:t>arrêt jusqu</w:t>
      </w:r>
      <w:r w:rsidR="003204E2" w:rsidRPr="003204E2">
        <w:rPr>
          <w:lang w:val="fr-FR"/>
        </w:rPr>
        <w:t>’</w:t>
      </w:r>
      <w:r w:rsidRPr="003204E2">
        <w:rPr>
          <w:lang w:val="fr-FR"/>
        </w:rPr>
        <w:t>à trente jours ou par une amende allant de cinquante et un à deux cent cinquante-huit euros. »</w:t>
      </w:r>
    </w:p>
    <w:p w:rsidR="003204E2" w:rsidRPr="003204E2" w:rsidRDefault="005F279E" w:rsidP="003204E2">
      <w:pPr>
        <w:pStyle w:val="ECHRHeading2"/>
        <w:rPr>
          <w:lang w:val="fr-FR"/>
        </w:rPr>
      </w:pPr>
      <w:r w:rsidRPr="003204E2">
        <w:rPr>
          <w:lang w:val="fr-FR"/>
        </w:rPr>
        <w:t>C</w:t>
      </w:r>
      <w:r w:rsidR="001B26E1" w:rsidRPr="003204E2">
        <w:rPr>
          <w:lang w:val="fr-FR"/>
        </w:rPr>
        <w:t>.  </w:t>
      </w:r>
      <w:r w:rsidR="00A52098" w:rsidRPr="003204E2">
        <w:rPr>
          <w:lang w:val="fr-FR"/>
        </w:rPr>
        <w:t>Les articles pertinents du code de procédure pénale</w:t>
      </w:r>
    </w:p>
    <w:p w:rsidR="00D26AB7" w:rsidRPr="003204E2" w:rsidRDefault="00E24C32" w:rsidP="003204E2">
      <w:pPr>
        <w:pStyle w:val="ECHRTitleCentre3"/>
        <w:rPr>
          <w:lang w:val="fr-FR"/>
        </w:rPr>
      </w:pPr>
      <w:r w:rsidRPr="003204E2">
        <w:rPr>
          <w:lang w:val="fr-FR"/>
        </w:rPr>
        <w:t>Article 247</w:t>
      </w:r>
      <w:r w:rsidR="00494D14" w:rsidRPr="003204E2">
        <w:rPr>
          <w:lang w:val="fr-FR"/>
        </w:rPr>
        <w:t xml:space="preserve"> : </w:t>
      </w:r>
      <w:r w:rsidR="00D26AB7" w:rsidRPr="003204E2">
        <w:rPr>
          <w:lang w:val="fr-FR"/>
        </w:rPr>
        <w:t>Cas et forme</w:t>
      </w:r>
      <w:r w:rsidR="003C0DFA" w:rsidRPr="003204E2">
        <w:rPr>
          <w:lang w:val="fr-FR"/>
        </w:rPr>
        <w:t>s</w:t>
      </w:r>
      <w:r w:rsidR="00D26AB7" w:rsidRPr="003204E2">
        <w:rPr>
          <w:lang w:val="fr-FR"/>
        </w:rPr>
        <w:t xml:space="preserve"> de </w:t>
      </w:r>
      <w:r w:rsidR="006F1565" w:rsidRPr="003204E2">
        <w:rPr>
          <w:lang w:val="fr-FR"/>
        </w:rPr>
        <w:t>perquisition</w:t>
      </w:r>
    </w:p>
    <w:p w:rsidR="00E24C32" w:rsidRPr="003204E2" w:rsidRDefault="00E24C32" w:rsidP="003204E2">
      <w:pPr>
        <w:pStyle w:val="ECHRParaQuote"/>
        <w:rPr>
          <w:lang w:val="fr-FR"/>
        </w:rPr>
      </w:pPr>
      <w:r w:rsidRPr="003204E2">
        <w:rPr>
          <w:lang w:val="fr-FR"/>
        </w:rPr>
        <w:t>« Lorsqu</w:t>
      </w:r>
      <w:r w:rsidR="003204E2" w:rsidRPr="003204E2">
        <w:rPr>
          <w:lang w:val="fr-FR"/>
        </w:rPr>
        <w:t>’</w:t>
      </w:r>
      <w:r w:rsidRPr="003204E2">
        <w:rPr>
          <w:lang w:val="fr-FR"/>
        </w:rPr>
        <w:t>il y a motif de penser que (</w:t>
      </w:r>
      <w:r w:rsidR="00681DD3" w:rsidRPr="003204E2">
        <w:rPr>
          <w:lang w:val="fr-FR"/>
        </w:rPr>
        <w:t>...</w:t>
      </w:r>
      <w:r w:rsidRPr="003204E2">
        <w:rPr>
          <w:lang w:val="fr-FR"/>
        </w:rPr>
        <w:t xml:space="preserve">) le corps du </w:t>
      </w:r>
      <w:r w:rsidR="006F1565" w:rsidRPr="003204E2">
        <w:rPr>
          <w:lang w:val="fr-FR"/>
        </w:rPr>
        <w:t>délit</w:t>
      </w:r>
      <w:r w:rsidRPr="003204E2">
        <w:rPr>
          <w:lang w:val="fr-FR"/>
        </w:rPr>
        <w:t xml:space="preserve"> se trouve dans un lieu donné, la </w:t>
      </w:r>
      <w:r w:rsidR="008D60CB" w:rsidRPr="003204E2">
        <w:rPr>
          <w:lang w:val="fr-FR"/>
        </w:rPr>
        <w:t>perquisition</w:t>
      </w:r>
      <w:r w:rsidRPr="003204E2">
        <w:rPr>
          <w:lang w:val="fr-FR"/>
        </w:rPr>
        <w:t xml:space="preserve"> de ce lieu peut être ordonnée. (</w:t>
      </w:r>
      <w:r w:rsidR="00681DD3" w:rsidRPr="003204E2">
        <w:rPr>
          <w:lang w:val="fr-FR"/>
        </w:rPr>
        <w:t>...</w:t>
      </w:r>
      <w:r w:rsidRPr="003204E2">
        <w:rPr>
          <w:lang w:val="fr-FR"/>
        </w:rPr>
        <w:t>) »</w:t>
      </w:r>
    </w:p>
    <w:p w:rsidR="0034082E" w:rsidRPr="003204E2" w:rsidRDefault="002B6C40" w:rsidP="003204E2">
      <w:pPr>
        <w:pStyle w:val="ECHRTitleCentre3"/>
        <w:rPr>
          <w:lang w:val="fr-FR"/>
        </w:rPr>
      </w:pPr>
      <w:r w:rsidRPr="003204E2">
        <w:rPr>
          <w:lang w:val="fr-FR"/>
        </w:rPr>
        <w:t>Article 329</w:t>
      </w:r>
      <w:r w:rsidR="00494D14" w:rsidRPr="003204E2">
        <w:rPr>
          <w:lang w:val="fr-FR"/>
        </w:rPr>
        <w:t xml:space="preserve"> : </w:t>
      </w:r>
      <w:r w:rsidR="00F570D0" w:rsidRPr="003204E2">
        <w:rPr>
          <w:lang w:val="fr-FR"/>
        </w:rPr>
        <w:t>Obligation de confidentialité</w:t>
      </w:r>
    </w:p>
    <w:p w:rsidR="0034082E" w:rsidRPr="003204E2" w:rsidRDefault="0034082E" w:rsidP="003204E2">
      <w:pPr>
        <w:pStyle w:val="ECHRParaQuote"/>
        <w:rPr>
          <w:lang w:val="fr-FR"/>
        </w:rPr>
      </w:pPr>
      <w:r w:rsidRPr="003204E2">
        <w:rPr>
          <w:lang w:val="fr-FR"/>
        </w:rPr>
        <w:t>« Les actes du procureur de la République et de la police judiciaire tenant aux investigations sont confidentiels jusqu</w:t>
      </w:r>
      <w:r w:rsidR="003204E2" w:rsidRPr="003204E2">
        <w:rPr>
          <w:lang w:val="fr-FR"/>
        </w:rPr>
        <w:t>’</w:t>
      </w:r>
      <w:r w:rsidRPr="003204E2">
        <w:rPr>
          <w:lang w:val="fr-FR"/>
        </w:rPr>
        <w:t>au moment où l</w:t>
      </w:r>
      <w:r w:rsidR="003204E2" w:rsidRPr="003204E2">
        <w:rPr>
          <w:lang w:val="fr-FR"/>
        </w:rPr>
        <w:t>’</w:t>
      </w:r>
      <w:r w:rsidRPr="003204E2">
        <w:rPr>
          <w:lang w:val="fr-FR"/>
        </w:rPr>
        <w:t>inculpé n</w:t>
      </w:r>
      <w:r w:rsidR="003204E2" w:rsidRPr="003204E2">
        <w:rPr>
          <w:lang w:val="fr-FR"/>
        </w:rPr>
        <w:t>’</w:t>
      </w:r>
      <w:r w:rsidRPr="003204E2">
        <w:rPr>
          <w:lang w:val="fr-FR"/>
        </w:rPr>
        <w:t>en ait pas connaissance et en tout cas, pas au-delà de la fin d</w:t>
      </w:r>
      <w:r w:rsidR="00F570D0" w:rsidRPr="003204E2">
        <w:rPr>
          <w:lang w:val="fr-FR"/>
        </w:rPr>
        <w:t xml:space="preserve">es investigations préliminaires </w:t>
      </w:r>
      <w:r w:rsidR="00431C18" w:rsidRPr="003204E2">
        <w:rPr>
          <w:lang w:val="fr-FR"/>
        </w:rPr>
        <w:t>(</w:t>
      </w:r>
      <w:r w:rsidR="00681DD3" w:rsidRPr="003204E2">
        <w:rPr>
          <w:lang w:val="fr-FR"/>
        </w:rPr>
        <w:t>...</w:t>
      </w:r>
      <w:r w:rsidRPr="003204E2">
        <w:rPr>
          <w:lang w:val="fr-FR"/>
        </w:rPr>
        <w:t>) »</w:t>
      </w:r>
    </w:p>
    <w:p w:rsidR="0034082E" w:rsidRPr="003204E2" w:rsidRDefault="005F279E" w:rsidP="003204E2">
      <w:pPr>
        <w:pStyle w:val="ECHRHeading2"/>
        <w:rPr>
          <w:lang w:val="fr-FR"/>
        </w:rPr>
      </w:pPr>
      <w:r w:rsidRPr="003204E2">
        <w:rPr>
          <w:lang w:val="fr-FR"/>
        </w:rPr>
        <w:t>D</w:t>
      </w:r>
      <w:r w:rsidR="00CC5AE3" w:rsidRPr="003204E2">
        <w:rPr>
          <w:lang w:val="fr-FR"/>
        </w:rPr>
        <w:t>.</w:t>
      </w:r>
      <w:r w:rsidR="001B26E1" w:rsidRPr="003204E2">
        <w:rPr>
          <w:lang w:val="fr-FR"/>
        </w:rPr>
        <w:t>  </w:t>
      </w:r>
      <w:r w:rsidR="00CC5AE3" w:rsidRPr="003204E2">
        <w:rPr>
          <w:lang w:val="fr-FR"/>
        </w:rPr>
        <w:t>Le d</w:t>
      </w:r>
      <w:r w:rsidR="0034082E" w:rsidRPr="003204E2">
        <w:rPr>
          <w:lang w:val="fr-FR"/>
        </w:rPr>
        <w:t>écret du Président de la République n</w:t>
      </w:r>
      <w:r w:rsidR="00681DD3" w:rsidRPr="003204E2">
        <w:rPr>
          <w:vertAlign w:val="superscript"/>
          <w:lang w:val="fr-FR"/>
        </w:rPr>
        <w:t>o</w:t>
      </w:r>
      <w:r w:rsidR="0034082E" w:rsidRPr="003204E2">
        <w:rPr>
          <w:lang w:val="fr-FR"/>
        </w:rPr>
        <w:t xml:space="preserve"> 447 de 2001 en matière d</w:t>
      </w:r>
      <w:r w:rsidR="003204E2" w:rsidRPr="003204E2">
        <w:rPr>
          <w:lang w:val="fr-FR"/>
        </w:rPr>
        <w:t>’</w:t>
      </w:r>
      <w:r w:rsidR="0034082E" w:rsidRPr="003204E2">
        <w:rPr>
          <w:lang w:val="fr-FR"/>
        </w:rPr>
        <w:t>autorisations et permis concernant les services de télécommunication de la part de radioamateurs (en vigueur à l</w:t>
      </w:r>
      <w:r w:rsidR="003204E2" w:rsidRPr="003204E2">
        <w:rPr>
          <w:lang w:val="fr-FR"/>
        </w:rPr>
        <w:t>’</w:t>
      </w:r>
      <w:r w:rsidR="0034082E" w:rsidRPr="003204E2">
        <w:rPr>
          <w:lang w:val="fr-FR"/>
        </w:rPr>
        <w:t>époque des faits)</w:t>
      </w:r>
    </w:p>
    <w:p w:rsidR="0034082E" w:rsidRPr="003204E2" w:rsidRDefault="0034082E"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25</w:t>
      </w:r>
      <w:r w:rsidRPr="003204E2">
        <w:rPr>
          <w:lang w:val="fr-FR"/>
        </w:rPr>
        <w:fldChar w:fldCharType="end"/>
      </w:r>
      <w:r w:rsidRPr="003204E2">
        <w:rPr>
          <w:lang w:val="fr-FR"/>
        </w:rPr>
        <w:t>.  Ce décret prévoit dans ces parties pertinentes que, afin d</w:t>
      </w:r>
      <w:r w:rsidR="003204E2" w:rsidRPr="003204E2">
        <w:rPr>
          <w:lang w:val="fr-FR"/>
        </w:rPr>
        <w:t>’</w:t>
      </w:r>
      <w:r w:rsidRPr="003204E2">
        <w:rPr>
          <w:lang w:val="fr-FR"/>
        </w:rPr>
        <w:t>obtenir l</w:t>
      </w:r>
      <w:r w:rsidR="003204E2" w:rsidRPr="003204E2">
        <w:rPr>
          <w:lang w:val="fr-FR"/>
        </w:rPr>
        <w:t>’</w:t>
      </w:r>
      <w:r w:rsidRPr="003204E2">
        <w:rPr>
          <w:lang w:val="fr-FR"/>
        </w:rPr>
        <w:t>autorisation à installer et utiliser des instruments en vue d</w:t>
      </w:r>
      <w:r w:rsidR="003204E2" w:rsidRPr="003204E2">
        <w:rPr>
          <w:lang w:val="fr-FR"/>
        </w:rPr>
        <w:t>’</w:t>
      </w:r>
      <w:r w:rsidRPr="003204E2">
        <w:rPr>
          <w:lang w:val="fr-FR"/>
        </w:rPr>
        <w:t>exercer l</w:t>
      </w:r>
      <w:r w:rsidR="003204E2" w:rsidRPr="003204E2">
        <w:rPr>
          <w:lang w:val="fr-FR"/>
        </w:rPr>
        <w:t>’</w:t>
      </w:r>
      <w:r w:rsidRPr="003204E2">
        <w:rPr>
          <w:lang w:val="fr-FR"/>
        </w:rPr>
        <w:t>activité de radioamateur, il est nécessaire de passer un permis (articles 33 et 34). De plus, l</w:t>
      </w:r>
      <w:r w:rsidR="003204E2" w:rsidRPr="003204E2">
        <w:rPr>
          <w:lang w:val="fr-FR"/>
        </w:rPr>
        <w:t>’</w:t>
      </w:r>
      <w:r w:rsidRPr="003204E2">
        <w:rPr>
          <w:lang w:val="fr-FR"/>
        </w:rPr>
        <w:t>écoute est libre uniquement sur la gamme de fréquences assignées au service de radioamateur (article 43). L</w:t>
      </w:r>
      <w:r w:rsidR="003204E2" w:rsidRPr="003204E2">
        <w:rPr>
          <w:lang w:val="fr-FR"/>
        </w:rPr>
        <w:t>’</w:t>
      </w:r>
      <w:r w:rsidRPr="003204E2">
        <w:rPr>
          <w:lang w:val="fr-FR"/>
        </w:rPr>
        <w:t>utilisation des appareils radioélectriques (uniquement récepteurs) pour lesquels l</w:t>
      </w:r>
      <w:r w:rsidR="003204E2" w:rsidRPr="003204E2">
        <w:rPr>
          <w:lang w:val="fr-FR"/>
        </w:rPr>
        <w:t>’</w:t>
      </w:r>
      <w:r w:rsidRPr="003204E2">
        <w:rPr>
          <w:lang w:val="fr-FR"/>
        </w:rPr>
        <w:t>assignation des fréquences n</w:t>
      </w:r>
      <w:r w:rsidR="003204E2" w:rsidRPr="003204E2">
        <w:rPr>
          <w:lang w:val="fr-FR"/>
        </w:rPr>
        <w:t>’</w:t>
      </w:r>
      <w:r w:rsidRPr="003204E2">
        <w:rPr>
          <w:lang w:val="fr-FR"/>
        </w:rPr>
        <w:t>est pas prévue est libre (article 6 § 2 b).</w:t>
      </w:r>
    </w:p>
    <w:p w:rsidR="0034082E" w:rsidRPr="003204E2" w:rsidRDefault="005F279E" w:rsidP="003204E2">
      <w:pPr>
        <w:pStyle w:val="ECHRHeading2"/>
        <w:rPr>
          <w:lang w:val="fr-FR"/>
        </w:rPr>
      </w:pPr>
      <w:r w:rsidRPr="003204E2">
        <w:rPr>
          <w:lang w:val="fr-FR"/>
        </w:rPr>
        <w:t>E</w:t>
      </w:r>
      <w:r w:rsidR="00883C68" w:rsidRPr="003204E2">
        <w:rPr>
          <w:lang w:val="fr-FR"/>
        </w:rPr>
        <w:t>.</w:t>
      </w:r>
      <w:r w:rsidR="001B26E1" w:rsidRPr="003204E2">
        <w:rPr>
          <w:lang w:val="fr-FR"/>
        </w:rPr>
        <w:t>  </w:t>
      </w:r>
      <w:r w:rsidR="00883C68" w:rsidRPr="003204E2">
        <w:rPr>
          <w:lang w:val="fr-FR"/>
        </w:rPr>
        <w:t>L</w:t>
      </w:r>
      <w:r w:rsidR="003204E2" w:rsidRPr="003204E2">
        <w:rPr>
          <w:lang w:val="fr-FR"/>
        </w:rPr>
        <w:t>’</w:t>
      </w:r>
      <w:r w:rsidR="00883C68" w:rsidRPr="003204E2">
        <w:rPr>
          <w:lang w:val="fr-FR"/>
        </w:rPr>
        <w:t>a</w:t>
      </w:r>
      <w:r w:rsidR="0034082E" w:rsidRPr="003204E2">
        <w:rPr>
          <w:lang w:val="fr-FR"/>
        </w:rPr>
        <w:t>rticle 12 § 8 du décret du ministère des Communications du 11 février 2003 (pas en vigueur à l</w:t>
      </w:r>
      <w:r w:rsidR="003204E2" w:rsidRPr="003204E2">
        <w:rPr>
          <w:lang w:val="fr-FR"/>
        </w:rPr>
        <w:t>’</w:t>
      </w:r>
      <w:r w:rsidR="0034082E" w:rsidRPr="003204E2">
        <w:rPr>
          <w:lang w:val="fr-FR"/>
        </w:rPr>
        <w:t>époque des faits)</w:t>
      </w:r>
    </w:p>
    <w:p w:rsidR="0034082E" w:rsidRPr="003204E2" w:rsidRDefault="0034082E" w:rsidP="003204E2">
      <w:pPr>
        <w:pStyle w:val="ECHRParaQuote"/>
        <w:rPr>
          <w:rStyle w:val="hps"/>
          <w:szCs w:val="24"/>
          <w:lang w:val="fr-FR"/>
        </w:rPr>
      </w:pPr>
      <w:r w:rsidRPr="003204E2">
        <w:rPr>
          <w:lang w:val="fr-FR"/>
        </w:rPr>
        <w:t>« Il est interdit aux radioamateurs d</w:t>
      </w:r>
      <w:r w:rsidR="003204E2" w:rsidRPr="003204E2">
        <w:rPr>
          <w:lang w:val="fr-FR"/>
        </w:rPr>
        <w:t>’</w:t>
      </w:r>
      <w:r w:rsidRPr="003204E2">
        <w:rPr>
          <w:lang w:val="fr-FR"/>
        </w:rPr>
        <w:t>intercepter des communications pour la réception desquelles ils n</w:t>
      </w:r>
      <w:r w:rsidR="003204E2" w:rsidRPr="003204E2">
        <w:rPr>
          <w:lang w:val="fr-FR"/>
        </w:rPr>
        <w:t>’</w:t>
      </w:r>
      <w:r w:rsidRPr="003204E2">
        <w:rPr>
          <w:lang w:val="fr-FR"/>
        </w:rPr>
        <w:t>ont pas de droits ; il est en tout cas interdit de porter à la connaissance de tiers le contenu et l</w:t>
      </w:r>
      <w:r w:rsidR="003204E2" w:rsidRPr="003204E2">
        <w:rPr>
          <w:lang w:val="fr-FR"/>
        </w:rPr>
        <w:t>’</w:t>
      </w:r>
      <w:r w:rsidRPr="003204E2">
        <w:rPr>
          <w:lang w:val="fr-FR"/>
        </w:rPr>
        <w:t>existence de messages interceptés et involontairement captés</w:t>
      </w:r>
      <w:r w:rsidRPr="003204E2">
        <w:rPr>
          <w:rStyle w:val="hps"/>
          <w:szCs w:val="24"/>
          <w:lang w:val="fr-FR"/>
        </w:rPr>
        <w:t>. »</w:t>
      </w:r>
    </w:p>
    <w:p w:rsidR="003204E2" w:rsidRPr="003204E2" w:rsidRDefault="005F279E" w:rsidP="003204E2">
      <w:pPr>
        <w:pStyle w:val="ECHRHeading2"/>
        <w:rPr>
          <w:rStyle w:val="hps"/>
          <w:szCs w:val="24"/>
          <w:lang w:val="fr-FR"/>
        </w:rPr>
      </w:pPr>
      <w:r w:rsidRPr="003204E2">
        <w:rPr>
          <w:rStyle w:val="hps"/>
          <w:szCs w:val="24"/>
          <w:lang w:val="fr-FR"/>
        </w:rPr>
        <w:t>F</w:t>
      </w:r>
      <w:r w:rsidR="001B26E1" w:rsidRPr="003204E2">
        <w:rPr>
          <w:rStyle w:val="hps"/>
          <w:szCs w:val="24"/>
          <w:lang w:val="fr-FR"/>
        </w:rPr>
        <w:t>.  </w:t>
      </w:r>
      <w:r w:rsidR="0034082E" w:rsidRPr="003204E2">
        <w:rPr>
          <w:rStyle w:val="hps"/>
          <w:szCs w:val="24"/>
          <w:lang w:val="fr-FR"/>
        </w:rPr>
        <w:t>L</w:t>
      </w:r>
      <w:r w:rsidR="009574A1" w:rsidRPr="003204E2">
        <w:rPr>
          <w:rStyle w:val="hps"/>
          <w:szCs w:val="24"/>
          <w:lang w:val="fr-FR"/>
        </w:rPr>
        <w:t xml:space="preserve">a </w:t>
      </w:r>
      <w:r w:rsidR="009574A1" w:rsidRPr="003204E2">
        <w:rPr>
          <w:rStyle w:val="hps"/>
          <w:lang w:val="fr-FR"/>
        </w:rPr>
        <w:t>jurisprudence</w:t>
      </w:r>
      <w:r w:rsidR="009574A1" w:rsidRPr="003204E2">
        <w:rPr>
          <w:rStyle w:val="hps"/>
          <w:szCs w:val="24"/>
          <w:lang w:val="fr-FR"/>
        </w:rPr>
        <w:t xml:space="preserve"> de la Cour de cassation en la matière</w:t>
      </w:r>
    </w:p>
    <w:p w:rsidR="0034082E" w:rsidRPr="003204E2" w:rsidRDefault="005F279E" w:rsidP="003204E2">
      <w:pPr>
        <w:pStyle w:val="ECHRHeading3"/>
        <w:rPr>
          <w:lang w:val="fr-FR"/>
        </w:rPr>
      </w:pPr>
      <w:r w:rsidRPr="003204E2">
        <w:rPr>
          <w:lang w:val="fr-FR"/>
        </w:rPr>
        <w:t>1</w:t>
      </w:r>
      <w:r w:rsidR="001B26E1" w:rsidRPr="003204E2">
        <w:rPr>
          <w:lang w:val="fr-FR"/>
        </w:rPr>
        <w:t>)  </w:t>
      </w:r>
      <w:r w:rsidR="009574A1" w:rsidRPr="003204E2">
        <w:rPr>
          <w:lang w:val="fr-FR"/>
        </w:rPr>
        <w:t>L</w:t>
      </w:r>
      <w:r w:rsidR="003204E2" w:rsidRPr="003204E2">
        <w:rPr>
          <w:lang w:val="fr-FR"/>
        </w:rPr>
        <w:t>’</w:t>
      </w:r>
      <w:r w:rsidR="009574A1" w:rsidRPr="003204E2">
        <w:rPr>
          <w:lang w:val="fr-FR"/>
        </w:rPr>
        <w:t>arrêt</w:t>
      </w:r>
      <w:r w:rsidR="0034082E" w:rsidRPr="003204E2">
        <w:rPr>
          <w:lang w:val="fr-FR"/>
        </w:rPr>
        <w:t xml:space="preserve"> n</w:t>
      </w:r>
      <w:r w:rsidR="00681DD3" w:rsidRPr="003204E2">
        <w:rPr>
          <w:vertAlign w:val="superscript"/>
          <w:lang w:val="fr-FR"/>
        </w:rPr>
        <w:t>o</w:t>
      </w:r>
      <w:r w:rsidR="0034082E" w:rsidRPr="003204E2">
        <w:rPr>
          <w:lang w:val="fr-FR"/>
        </w:rPr>
        <w:t xml:space="preserve"> 12655 du 23 janvier 2001</w:t>
      </w:r>
    </w:p>
    <w:p w:rsidR="0034082E" w:rsidRPr="003204E2" w:rsidRDefault="0034082E" w:rsidP="003204E2">
      <w:pPr>
        <w:pStyle w:val="ECHRPara"/>
        <w:rPr>
          <w:rStyle w:val="hps"/>
          <w:szCs w:val="24"/>
          <w:lang w:val="fr-FR"/>
        </w:rPr>
      </w:pPr>
      <w:r w:rsidRPr="003204E2">
        <w:rPr>
          <w:rStyle w:val="hps"/>
          <w:szCs w:val="24"/>
          <w:lang w:val="fr-FR"/>
        </w:rPr>
        <w:fldChar w:fldCharType="begin"/>
      </w:r>
      <w:r w:rsidRPr="003204E2">
        <w:rPr>
          <w:rStyle w:val="hps"/>
          <w:szCs w:val="24"/>
          <w:lang w:val="fr-FR"/>
        </w:rPr>
        <w:instrText xml:space="preserve"> SEQ level0 \*arabic </w:instrText>
      </w:r>
      <w:r w:rsidRPr="003204E2">
        <w:rPr>
          <w:rStyle w:val="hps"/>
          <w:szCs w:val="24"/>
          <w:lang w:val="fr-FR"/>
        </w:rPr>
        <w:fldChar w:fldCharType="separate"/>
      </w:r>
      <w:r w:rsidR="003204E2" w:rsidRPr="003204E2">
        <w:rPr>
          <w:rStyle w:val="hps"/>
          <w:noProof/>
          <w:szCs w:val="24"/>
          <w:lang w:val="fr-FR"/>
        </w:rPr>
        <w:t>26</w:t>
      </w:r>
      <w:r w:rsidRPr="003204E2">
        <w:rPr>
          <w:rStyle w:val="hps"/>
          <w:szCs w:val="24"/>
          <w:lang w:val="fr-FR"/>
        </w:rPr>
        <w:fldChar w:fldCharType="end"/>
      </w:r>
      <w:r w:rsidRPr="003204E2">
        <w:rPr>
          <w:rStyle w:val="hps"/>
          <w:szCs w:val="24"/>
          <w:lang w:val="fr-FR"/>
        </w:rPr>
        <w:t>.  </w:t>
      </w:r>
      <w:r w:rsidRPr="003204E2">
        <w:rPr>
          <w:rStyle w:val="ECHRParaChar"/>
          <w:lang w:val="fr-FR"/>
        </w:rPr>
        <w:t>Dans cet arrêt, concernant l</w:t>
      </w:r>
      <w:r w:rsidR="003204E2" w:rsidRPr="003204E2">
        <w:rPr>
          <w:rStyle w:val="ECHRParaChar"/>
          <w:lang w:val="fr-FR"/>
        </w:rPr>
        <w:t>’</w:t>
      </w:r>
      <w:r w:rsidRPr="003204E2">
        <w:rPr>
          <w:rStyle w:val="ECHRParaChar"/>
          <w:lang w:val="fr-FR"/>
        </w:rPr>
        <w:t>utilisation d</w:t>
      </w:r>
      <w:r w:rsidR="003204E2" w:rsidRPr="003204E2">
        <w:rPr>
          <w:rStyle w:val="ECHRParaChar"/>
          <w:lang w:val="fr-FR"/>
        </w:rPr>
        <w:t>’</w:t>
      </w:r>
      <w:r w:rsidRPr="003204E2">
        <w:rPr>
          <w:rStyle w:val="ECHRParaChar"/>
          <w:lang w:val="fr-FR"/>
        </w:rPr>
        <w:t>appareils d</w:t>
      </w:r>
      <w:r w:rsidR="003204E2" w:rsidRPr="003204E2">
        <w:rPr>
          <w:rStyle w:val="ECHRParaChar"/>
          <w:lang w:val="fr-FR"/>
        </w:rPr>
        <w:t>’</w:t>
      </w:r>
      <w:r w:rsidRPr="003204E2">
        <w:rPr>
          <w:rStyle w:val="ECHRParaChar"/>
          <w:lang w:val="fr-FR"/>
        </w:rPr>
        <w:t>enregistrement visant à intercepter les conversations téléphoniques de la partenaire de l</w:t>
      </w:r>
      <w:r w:rsidR="003204E2" w:rsidRPr="003204E2">
        <w:rPr>
          <w:rStyle w:val="ECHRParaChar"/>
          <w:lang w:val="fr-FR"/>
        </w:rPr>
        <w:t>’</w:t>
      </w:r>
      <w:r w:rsidRPr="003204E2">
        <w:rPr>
          <w:rStyle w:val="ECHRParaChar"/>
          <w:lang w:val="fr-FR"/>
        </w:rPr>
        <w:t>inc</w:t>
      </w:r>
      <w:r w:rsidR="00FA728B" w:rsidRPr="003204E2">
        <w:rPr>
          <w:rStyle w:val="ECHRParaChar"/>
          <w:lang w:val="fr-FR"/>
        </w:rPr>
        <w:t>ulpé, la Cour de cassation a entériné</w:t>
      </w:r>
      <w:r w:rsidRPr="003204E2">
        <w:rPr>
          <w:rStyle w:val="ECHRParaChar"/>
          <w:lang w:val="fr-FR"/>
        </w:rPr>
        <w:t xml:space="preserve"> la condamnation de celui-ci à huit mois de réclusion.</w:t>
      </w:r>
    </w:p>
    <w:p w:rsidR="003204E2" w:rsidRPr="003204E2" w:rsidRDefault="005F279E" w:rsidP="003204E2">
      <w:pPr>
        <w:pStyle w:val="ECHRHeading3"/>
        <w:rPr>
          <w:rStyle w:val="hps"/>
          <w:lang w:val="fr-FR"/>
        </w:rPr>
      </w:pPr>
      <w:r w:rsidRPr="003204E2">
        <w:rPr>
          <w:rStyle w:val="hps"/>
          <w:lang w:val="fr-FR"/>
        </w:rPr>
        <w:lastRenderedPageBreak/>
        <w:t>2</w:t>
      </w:r>
      <w:r w:rsidR="009574A1" w:rsidRPr="003204E2">
        <w:rPr>
          <w:rStyle w:val="hps"/>
          <w:lang w:val="fr-FR"/>
        </w:rPr>
        <w:t>)</w:t>
      </w:r>
      <w:r w:rsidR="001B26E1" w:rsidRPr="003204E2">
        <w:rPr>
          <w:rStyle w:val="hps"/>
          <w:lang w:val="fr-FR"/>
        </w:rPr>
        <w:t>  </w:t>
      </w:r>
      <w:r w:rsidR="0034082E" w:rsidRPr="003204E2">
        <w:rPr>
          <w:rStyle w:val="hps"/>
          <w:lang w:val="fr-FR"/>
        </w:rPr>
        <w:t>L</w:t>
      </w:r>
      <w:r w:rsidR="003204E2" w:rsidRPr="003204E2">
        <w:rPr>
          <w:rStyle w:val="hps"/>
          <w:lang w:val="fr-FR"/>
        </w:rPr>
        <w:t>’</w:t>
      </w:r>
      <w:r w:rsidR="0034082E" w:rsidRPr="003204E2">
        <w:rPr>
          <w:rStyle w:val="hps"/>
          <w:lang w:val="fr-FR"/>
        </w:rPr>
        <w:t>arrêt n</w:t>
      </w:r>
      <w:r w:rsidR="00681DD3" w:rsidRPr="003204E2">
        <w:rPr>
          <w:rStyle w:val="hps"/>
          <w:vertAlign w:val="superscript"/>
          <w:lang w:val="fr-FR"/>
        </w:rPr>
        <w:t>o</w:t>
      </w:r>
      <w:r w:rsidR="0034082E" w:rsidRPr="003204E2">
        <w:rPr>
          <w:rStyle w:val="hps"/>
          <w:lang w:val="fr-FR"/>
        </w:rPr>
        <w:t xml:space="preserve"> 25488 du 6 mai 2004</w:t>
      </w:r>
    </w:p>
    <w:p w:rsidR="0034082E" w:rsidRPr="003204E2" w:rsidRDefault="0034082E"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27</w:t>
      </w:r>
      <w:r w:rsidRPr="003204E2">
        <w:rPr>
          <w:lang w:val="fr-FR"/>
        </w:rPr>
        <w:fldChar w:fldCharType="end"/>
      </w:r>
      <w:r w:rsidRPr="003204E2">
        <w:rPr>
          <w:lang w:val="fr-FR"/>
        </w:rPr>
        <w:t>.  Dans cet arrêt, la Cour de cassation a confirmé les jugements de première et deuxième instance concluant à la responsabilité pénale de l</w:t>
      </w:r>
      <w:r w:rsidR="003204E2" w:rsidRPr="003204E2">
        <w:rPr>
          <w:lang w:val="fr-FR"/>
        </w:rPr>
        <w:t>’</w:t>
      </w:r>
      <w:r w:rsidRPr="003204E2">
        <w:rPr>
          <w:lang w:val="fr-FR"/>
        </w:rPr>
        <w:t>inculpé pour avoir utilisé des appareils radiophoniques afin d</w:t>
      </w:r>
      <w:r w:rsidR="003204E2" w:rsidRPr="003204E2">
        <w:rPr>
          <w:lang w:val="fr-FR"/>
        </w:rPr>
        <w:t>’</w:t>
      </w:r>
      <w:r w:rsidRPr="003204E2">
        <w:rPr>
          <w:lang w:val="fr-FR"/>
        </w:rPr>
        <w:t>intercepter les communications entre membres de la police. La Cour de cassation a conclu que ces agissements constituaient une infraction au sens de l</w:t>
      </w:r>
      <w:r w:rsidR="003204E2" w:rsidRPr="003204E2">
        <w:rPr>
          <w:lang w:val="fr-FR"/>
        </w:rPr>
        <w:t>’</w:t>
      </w:r>
      <w:r w:rsidRPr="003204E2">
        <w:rPr>
          <w:lang w:val="fr-FR"/>
        </w:rPr>
        <w:t>article</w:t>
      </w:r>
      <w:r w:rsidR="004708AC" w:rsidRPr="003204E2">
        <w:rPr>
          <w:lang w:val="fr-FR"/>
        </w:rPr>
        <w:t> </w:t>
      </w:r>
      <w:r w:rsidRPr="003204E2">
        <w:rPr>
          <w:lang w:val="fr-FR"/>
        </w:rPr>
        <w:t xml:space="preserve">617 </w:t>
      </w:r>
      <w:r w:rsidRPr="003204E2">
        <w:rPr>
          <w:i/>
          <w:lang w:val="fr-FR"/>
        </w:rPr>
        <w:t>bis</w:t>
      </w:r>
      <w:r w:rsidRPr="003204E2">
        <w:rPr>
          <w:lang w:val="fr-FR"/>
        </w:rPr>
        <w:t xml:space="preserve"> du code pénal.</w:t>
      </w:r>
    </w:p>
    <w:p w:rsidR="003204E2" w:rsidRPr="003204E2" w:rsidRDefault="0034082E"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28</w:t>
      </w:r>
      <w:r w:rsidRPr="003204E2">
        <w:rPr>
          <w:lang w:val="fr-FR"/>
        </w:rPr>
        <w:fldChar w:fldCharType="end"/>
      </w:r>
      <w:r w:rsidRPr="003204E2">
        <w:rPr>
          <w:lang w:val="fr-FR"/>
        </w:rPr>
        <w:t>.  Elle a relevé que, à la suite de la modification apportée par la loi n</w:t>
      </w:r>
      <w:r w:rsidR="00681DD3" w:rsidRPr="003204E2">
        <w:rPr>
          <w:lang w:val="fr-FR"/>
        </w:rPr>
        <w:t>o</w:t>
      </w:r>
      <w:r w:rsidRPr="003204E2">
        <w:rPr>
          <w:lang w:val="fr-FR"/>
        </w:rPr>
        <w:t> 547 du 23 novembre 1993 au texte de l</w:t>
      </w:r>
      <w:r w:rsidR="003204E2" w:rsidRPr="003204E2">
        <w:rPr>
          <w:lang w:val="fr-FR"/>
        </w:rPr>
        <w:t>’</w:t>
      </w:r>
      <w:r w:rsidRPr="003204E2">
        <w:rPr>
          <w:lang w:val="fr-FR"/>
        </w:rPr>
        <w:t xml:space="preserve">article 623 </w:t>
      </w:r>
      <w:r w:rsidRPr="003204E2">
        <w:rPr>
          <w:i/>
          <w:lang w:val="fr-FR"/>
        </w:rPr>
        <w:t>bis</w:t>
      </w:r>
      <w:r w:rsidRPr="003204E2">
        <w:rPr>
          <w:lang w:val="fr-FR"/>
        </w:rPr>
        <w:t xml:space="preserve"> du code pénal, l</w:t>
      </w:r>
      <w:r w:rsidR="003204E2" w:rsidRPr="003204E2">
        <w:rPr>
          <w:lang w:val="fr-FR"/>
        </w:rPr>
        <w:t>’</w:t>
      </w:r>
      <w:r w:rsidRPr="003204E2">
        <w:rPr>
          <w:lang w:val="fr-FR"/>
        </w:rPr>
        <w:t xml:space="preserve">article 617 </w:t>
      </w:r>
      <w:r w:rsidRPr="003204E2">
        <w:rPr>
          <w:i/>
          <w:lang w:val="fr-FR"/>
        </w:rPr>
        <w:t>bis</w:t>
      </w:r>
      <w:r w:rsidRPr="003204E2">
        <w:rPr>
          <w:lang w:val="fr-FR"/>
        </w:rPr>
        <w:t xml:space="preserve"> du code pénal était applicable non seulement en cas d</w:t>
      </w:r>
      <w:r w:rsidR="003204E2" w:rsidRPr="003204E2">
        <w:rPr>
          <w:lang w:val="fr-FR"/>
        </w:rPr>
        <w:t>’</w:t>
      </w:r>
      <w:r w:rsidRPr="003204E2">
        <w:rPr>
          <w:lang w:val="fr-FR"/>
        </w:rPr>
        <w:t>installation d</w:t>
      </w:r>
      <w:r w:rsidR="003204E2" w:rsidRPr="003204E2">
        <w:rPr>
          <w:lang w:val="fr-FR"/>
        </w:rPr>
        <w:t>’</w:t>
      </w:r>
      <w:r w:rsidRPr="003204E2">
        <w:rPr>
          <w:lang w:val="fr-FR"/>
        </w:rPr>
        <w:t>appareils visant à intercepter « des communications télégraphiques ou téléphoniques » (tel qu</w:t>
      </w:r>
      <w:r w:rsidR="003204E2" w:rsidRPr="003204E2">
        <w:rPr>
          <w:lang w:val="fr-FR"/>
        </w:rPr>
        <w:t>’</w:t>
      </w:r>
      <w:r w:rsidRPr="003204E2">
        <w:rPr>
          <w:lang w:val="fr-FR"/>
        </w:rPr>
        <w:t>il était prévu par l</w:t>
      </w:r>
      <w:r w:rsidR="003204E2" w:rsidRPr="003204E2">
        <w:rPr>
          <w:lang w:val="fr-FR"/>
        </w:rPr>
        <w:t>’</w:t>
      </w:r>
      <w:r w:rsidRPr="003204E2">
        <w:rPr>
          <w:lang w:val="fr-FR"/>
        </w:rPr>
        <w:t>ancienne formulation du texte, impliquant « une connexion sur fil ou sur des ondes guidées »), mais s</w:t>
      </w:r>
      <w:r w:rsidR="003204E2" w:rsidRPr="003204E2">
        <w:rPr>
          <w:lang w:val="fr-FR"/>
        </w:rPr>
        <w:t>’</w:t>
      </w:r>
      <w:r w:rsidRPr="003204E2">
        <w:rPr>
          <w:lang w:val="fr-FR"/>
        </w:rPr>
        <w:t>étendait à « toute transmission à distance de sons, images ou d</w:t>
      </w:r>
      <w:r w:rsidR="003204E2" w:rsidRPr="003204E2">
        <w:rPr>
          <w:lang w:val="fr-FR"/>
        </w:rPr>
        <w:t>’</w:t>
      </w:r>
      <w:r w:rsidRPr="003204E2">
        <w:rPr>
          <w:lang w:val="fr-FR"/>
        </w:rPr>
        <w:t>autres donnés ».</w:t>
      </w:r>
    </w:p>
    <w:p w:rsidR="0034082E" w:rsidRPr="003204E2" w:rsidRDefault="005F279E" w:rsidP="003204E2">
      <w:pPr>
        <w:pStyle w:val="ECHRHeading3"/>
        <w:rPr>
          <w:rStyle w:val="hps"/>
          <w:lang w:val="fr-FR"/>
        </w:rPr>
      </w:pPr>
      <w:r w:rsidRPr="003204E2">
        <w:rPr>
          <w:rStyle w:val="hps"/>
          <w:lang w:val="fr-FR"/>
        </w:rPr>
        <w:t>3</w:t>
      </w:r>
      <w:r w:rsidR="001B26E1" w:rsidRPr="003204E2">
        <w:rPr>
          <w:rStyle w:val="hps"/>
          <w:lang w:val="fr-FR"/>
        </w:rPr>
        <w:t>)  </w:t>
      </w:r>
      <w:r w:rsidR="0034082E" w:rsidRPr="003204E2">
        <w:rPr>
          <w:rStyle w:val="hps"/>
          <w:lang w:val="fr-FR"/>
        </w:rPr>
        <w:t>L</w:t>
      </w:r>
      <w:r w:rsidR="003204E2" w:rsidRPr="003204E2">
        <w:rPr>
          <w:rStyle w:val="hps"/>
          <w:lang w:val="fr-FR"/>
        </w:rPr>
        <w:t>’</w:t>
      </w:r>
      <w:r w:rsidR="0034082E" w:rsidRPr="003204E2">
        <w:rPr>
          <w:rStyle w:val="hps"/>
          <w:lang w:val="fr-FR"/>
        </w:rPr>
        <w:t>arrêt n</w:t>
      </w:r>
      <w:r w:rsidR="00681DD3" w:rsidRPr="003204E2">
        <w:rPr>
          <w:rStyle w:val="hps"/>
          <w:vertAlign w:val="superscript"/>
          <w:lang w:val="fr-FR"/>
        </w:rPr>
        <w:t>o</w:t>
      </w:r>
      <w:r w:rsidR="0034082E" w:rsidRPr="003204E2">
        <w:rPr>
          <w:rStyle w:val="hps"/>
          <w:lang w:val="fr-FR"/>
        </w:rPr>
        <w:t> 5299 du 15 janvier 2008</w:t>
      </w:r>
    </w:p>
    <w:p w:rsidR="0034082E" w:rsidRPr="003204E2" w:rsidRDefault="0034082E" w:rsidP="003204E2">
      <w:pPr>
        <w:pStyle w:val="JuParaSub"/>
        <w:ind w:left="0"/>
        <w:rPr>
          <w:lang w:val="fr-FR"/>
        </w:rPr>
      </w:pPr>
      <w:r w:rsidRPr="003204E2">
        <w:fldChar w:fldCharType="begin"/>
      </w:r>
      <w:r w:rsidRPr="003204E2">
        <w:rPr>
          <w:lang w:val="fr-FR"/>
        </w:rPr>
        <w:instrText xml:space="preserve"> SEQ level0 \*arabic </w:instrText>
      </w:r>
      <w:r w:rsidRPr="003204E2">
        <w:fldChar w:fldCharType="separate"/>
      </w:r>
      <w:r w:rsidR="003204E2" w:rsidRPr="003204E2">
        <w:rPr>
          <w:noProof/>
          <w:lang w:val="fr-FR"/>
        </w:rPr>
        <w:t>29</w:t>
      </w:r>
      <w:r w:rsidRPr="003204E2">
        <w:fldChar w:fldCharType="end"/>
      </w:r>
      <w:r w:rsidRPr="003204E2">
        <w:rPr>
          <w:lang w:val="fr-FR"/>
        </w:rPr>
        <w:t>.  Dans cet arrêt, la Cour de cassation, décidant sur des faits similaires à ceux faisant l</w:t>
      </w:r>
      <w:r w:rsidR="003204E2" w:rsidRPr="003204E2">
        <w:rPr>
          <w:lang w:val="fr-FR"/>
        </w:rPr>
        <w:t>’</w:t>
      </w:r>
      <w:r w:rsidRPr="003204E2">
        <w:rPr>
          <w:lang w:val="fr-FR"/>
        </w:rPr>
        <w:t>objet de l</w:t>
      </w:r>
      <w:r w:rsidR="003204E2" w:rsidRPr="003204E2">
        <w:rPr>
          <w:lang w:val="fr-FR"/>
        </w:rPr>
        <w:t>’</w:t>
      </w:r>
      <w:r w:rsidRPr="003204E2">
        <w:rPr>
          <w:lang w:val="fr-FR"/>
        </w:rPr>
        <w:t>arrêt n</w:t>
      </w:r>
      <w:r w:rsidR="00681DD3" w:rsidRPr="003204E2">
        <w:rPr>
          <w:vertAlign w:val="superscript"/>
          <w:lang w:val="fr-FR"/>
        </w:rPr>
        <w:t>o</w:t>
      </w:r>
      <w:r w:rsidRPr="003204E2">
        <w:rPr>
          <w:lang w:val="fr-FR"/>
        </w:rPr>
        <w:t xml:space="preserve"> 25488/2004, parvint aux mêmes conclusions </w:t>
      </w:r>
      <w:r w:rsidR="00FA728B" w:rsidRPr="003204E2">
        <w:rPr>
          <w:lang w:val="fr-FR"/>
        </w:rPr>
        <w:t>qu</w:t>
      </w:r>
      <w:r w:rsidRPr="003204E2">
        <w:rPr>
          <w:lang w:val="fr-FR"/>
        </w:rPr>
        <w:t>e dans cette dernière affaire.</w:t>
      </w:r>
    </w:p>
    <w:p w:rsidR="0034082E" w:rsidRPr="003204E2" w:rsidRDefault="0034082E" w:rsidP="003204E2">
      <w:pPr>
        <w:pStyle w:val="JuParaSub"/>
        <w:ind w:left="0"/>
        <w:rPr>
          <w:lang w:val="fr-FR"/>
        </w:rPr>
      </w:pPr>
      <w:r w:rsidRPr="003204E2">
        <w:fldChar w:fldCharType="begin"/>
      </w:r>
      <w:r w:rsidRPr="003204E2">
        <w:rPr>
          <w:lang w:val="fr-FR"/>
        </w:rPr>
        <w:instrText xml:space="preserve"> SEQ level0 \*arabic </w:instrText>
      </w:r>
      <w:r w:rsidRPr="003204E2">
        <w:fldChar w:fldCharType="separate"/>
      </w:r>
      <w:r w:rsidR="003204E2" w:rsidRPr="003204E2">
        <w:rPr>
          <w:noProof/>
          <w:lang w:val="fr-FR"/>
        </w:rPr>
        <w:t>30</w:t>
      </w:r>
      <w:r w:rsidRPr="003204E2">
        <w:fldChar w:fldCharType="end"/>
      </w:r>
      <w:r w:rsidRPr="003204E2">
        <w:rPr>
          <w:lang w:val="fr-FR"/>
        </w:rPr>
        <w:t>.  Elle observa en outre que, avant l</w:t>
      </w:r>
      <w:r w:rsidR="003204E2" w:rsidRPr="003204E2">
        <w:rPr>
          <w:lang w:val="fr-FR"/>
        </w:rPr>
        <w:t>’</w:t>
      </w:r>
      <w:r w:rsidRPr="003204E2">
        <w:rPr>
          <w:lang w:val="fr-FR"/>
        </w:rPr>
        <w:t>entrée en vigueur de la loi n</w:t>
      </w:r>
      <w:r w:rsidR="00681DD3" w:rsidRPr="003204E2">
        <w:rPr>
          <w:vertAlign w:val="superscript"/>
          <w:lang w:val="fr-FR"/>
        </w:rPr>
        <w:t>o</w:t>
      </w:r>
      <w:r w:rsidRPr="003204E2">
        <w:rPr>
          <w:lang w:val="fr-FR"/>
        </w:rPr>
        <w:t> 547 du 23 novembre 1993, la jurisprudence était orientée à conclure que l</w:t>
      </w:r>
      <w:r w:rsidR="003204E2" w:rsidRPr="003204E2">
        <w:rPr>
          <w:lang w:val="fr-FR"/>
        </w:rPr>
        <w:t>’</w:t>
      </w:r>
      <w:r w:rsidRPr="003204E2">
        <w:rPr>
          <w:lang w:val="fr-FR"/>
        </w:rPr>
        <w:t xml:space="preserve">interception des </w:t>
      </w:r>
      <w:r w:rsidR="008D264C" w:rsidRPr="003204E2">
        <w:rPr>
          <w:lang w:val="fr-FR"/>
        </w:rPr>
        <w:t>radio</w:t>
      </w:r>
      <w:r w:rsidRPr="003204E2">
        <w:rPr>
          <w:lang w:val="fr-FR"/>
        </w:rPr>
        <w:t xml:space="preserve">communications entre les centres opérationnels </w:t>
      </w:r>
      <w:r w:rsidR="006215A3" w:rsidRPr="003204E2">
        <w:rPr>
          <w:lang w:val="fr-FR"/>
        </w:rPr>
        <w:t>et les patrouilles de la police</w:t>
      </w:r>
      <w:r w:rsidRPr="003204E2">
        <w:rPr>
          <w:lang w:val="fr-FR"/>
        </w:rPr>
        <w:t xml:space="preserve"> effectuées à travers des ondes électriques propagées dans l</w:t>
      </w:r>
      <w:r w:rsidR="003204E2" w:rsidRPr="003204E2">
        <w:rPr>
          <w:lang w:val="fr-FR"/>
        </w:rPr>
        <w:t>’</w:t>
      </w:r>
      <w:r w:rsidRPr="003204E2">
        <w:rPr>
          <w:lang w:val="fr-FR"/>
        </w:rPr>
        <w:t>espace</w:t>
      </w:r>
      <w:r w:rsidR="006215A3" w:rsidRPr="003204E2">
        <w:rPr>
          <w:lang w:val="fr-FR"/>
        </w:rPr>
        <w:t xml:space="preserve"> dans un sens omnidirectionnel,</w:t>
      </w:r>
      <w:r w:rsidRPr="003204E2">
        <w:rPr>
          <w:lang w:val="fr-FR"/>
        </w:rPr>
        <w:t xml:space="preserve"> ne pouvait pas faire l</w:t>
      </w:r>
      <w:r w:rsidR="003204E2" w:rsidRPr="003204E2">
        <w:rPr>
          <w:lang w:val="fr-FR"/>
        </w:rPr>
        <w:t>’</w:t>
      </w:r>
      <w:r w:rsidRPr="003204E2">
        <w:rPr>
          <w:lang w:val="fr-FR"/>
        </w:rPr>
        <w:t>objet de l</w:t>
      </w:r>
      <w:r w:rsidR="003204E2" w:rsidRPr="003204E2">
        <w:rPr>
          <w:lang w:val="fr-FR"/>
        </w:rPr>
        <w:t>’</w:t>
      </w:r>
      <w:r w:rsidRPr="003204E2">
        <w:rPr>
          <w:lang w:val="fr-FR"/>
        </w:rPr>
        <w:t>application de l</w:t>
      </w:r>
      <w:r w:rsidR="003204E2" w:rsidRPr="003204E2">
        <w:rPr>
          <w:lang w:val="fr-FR"/>
        </w:rPr>
        <w:t>’</w:t>
      </w:r>
      <w:r w:rsidRPr="003204E2">
        <w:rPr>
          <w:lang w:val="fr-FR"/>
        </w:rPr>
        <w:t xml:space="preserve">article 617 </w:t>
      </w:r>
      <w:r w:rsidRPr="003204E2">
        <w:rPr>
          <w:i/>
          <w:lang w:val="fr-FR"/>
        </w:rPr>
        <w:t>bis</w:t>
      </w:r>
      <w:r w:rsidRPr="003204E2">
        <w:rPr>
          <w:lang w:val="fr-FR"/>
        </w:rPr>
        <w:t xml:space="preserve"> du code pénal. En effet, l</w:t>
      </w:r>
      <w:r w:rsidR="003204E2" w:rsidRPr="003204E2">
        <w:rPr>
          <w:lang w:val="fr-FR"/>
        </w:rPr>
        <w:t>’</w:t>
      </w:r>
      <w:r w:rsidRPr="003204E2">
        <w:rPr>
          <w:lang w:val="fr-FR"/>
        </w:rPr>
        <w:t xml:space="preserve">article 623 </w:t>
      </w:r>
      <w:r w:rsidRPr="003204E2">
        <w:rPr>
          <w:i/>
          <w:lang w:val="fr-FR"/>
        </w:rPr>
        <w:t>bis</w:t>
      </w:r>
      <w:r w:rsidRPr="003204E2">
        <w:rPr>
          <w:lang w:val="fr-FR"/>
        </w:rPr>
        <w:t xml:space="preserve"> du code pénal, limitait le champ d</w:t>
      </w:r>
      <w:r w:rsidR="003204E2" w:rsidRPr="003204E2">
        <w:rPr>
          <w:lang w:val="fr-FR"/>
        </w:rPr>
        <w:t>’</w:t>
      </w:r>
      <w:r w:rsidRPr="003204E2">
        <w:rPr>
          <w:lang w:val="fr-FR"/>
        </w:rPr>
        <w:t xml:space="preserve">application de cette dernière disposition aux « connexions sur fil ou sur des </w:t>
      </w:r>
      <w:r w:rsidR="00991E17" w:rsidRPr="003204E2">
        <w:rPr>
          <w:lang w:val="fr-FR"/>
        </w:rPr>
        <w:t>ondes guidées », dont les ondes-</w:t>
      </w:r>
      <w:r w:rsidRPr="003204E2">
        <w:rPr>
          <w:lang w:val="fr-FR"/>
        </w:rPr>
        <w:t>radio ne faisaient pas partie.</w:t>
      </w:r>
    </w:p>
    <w:p w:rsidR="00E77CB3" w:rsidRPr="003204E2" w:rsidRDefault="0034082E" w:rsidP="003204E2">
      <w:pPr>
        <w:pStyle w:val="JuParaSub"/>
        <w:ind w:left="0"/>
        <w:rPr>
          <w:lang w:val="fr-FR"/>
        </w:rPr>
      </w:pPr>
      <w:r w:rsidRPr="003204E2">
        <w:fldChar w:fldCharType="begin"/>
      </w:r>
      <w:r w:rsidRPr="003204E2">
        <w:rPr>
          <w:lang w:val="fr-FR"/>
        </w:rPr>
        <w:instrText xml:space="preserve"> SEQ level0 \*arabic </w:instrText>
      </w:r>
      <w:r w:rsidRPr="003204E2">
        <w:fldChar w:fldCharType="separate"/>
      </w:r>
      <w:r w:rsidR="003204E2" w:rsidRPr="003204E2">
        <w:rPr>
          <w:noProof/>
          <w:lang w:val="fr-FR"/>
        </w:rPr>
        <w:t>31</w:t>
      </w:r>
      <w:r w:rsidRPr="003204E2">
        <w:fldChar w:fldCharType="end"/>
      </w:r>
      <w:r w:rsidRPr="003204E2">
        <w:rPr>
          <w:lang w:val="fr-FR"/>
        </w:rPr>
        <w:t>.  Toutefois, à la suite des modifications apportées par la loi n</w:t>
      </w:r>
      <w:r w:rsidR="00681DD3" w:rsidRPr="003204E2">
        <w:rPr>
          <w:vertAlign w:val="superscript"/>
          <w:lang w:val="fr-FR"/>
        </w:rPr>
        <w:t>o</w:t>
      </w:r>
      <w:r w:rsidRPr="003204E2">
        <w:rPr>
          <w:lang w:val="fr-FR"/>
        </w:rPr>
        <w:t xml:space="preserve"> 547 du 23 novembre 1993, l</w:t>
      </w:r>
      <w:r w:rsidR="003204E2" w:rsidRPr="003204E2">
        <w:rPr>
          <w:lang w:val="fr-FR"/>
        </w:rPr>
        <w:t>’</w:t>
      </w:r>
      <w:r w:rsidRPr="003204E2">
        <w:rPr>
          <w:lang w:val="fr-FR"/>
        </w:rPr>
        <w:t>article 617 bis pouvait être appliqué aux faits incriminés.</w:t>
      </w:r>
    </w:p>
    <w:p w:rsidR="00E77CB3" w:rsidRPr="003204E2" w:rsidRDefault="00E77CB3" w:rsidP="003204E2">
      <w:pPr>
        <w:pStyle w:val="ECHRTitle1"/>
        <w:rPr>
          <w:lang w:val="fr-FR"/>
        </w:rPr>
      </w:pPr>
      <w:r w:rsidRPr="003204E2">
        <w:rPr>
          <w:lang w:val="fr-FR"/>
        </w:rPr>
        <w:t>EN DROIT</w:t>
      </w:r>
    </w:p>
    <w:p w:rsidR="00E77CB3" w:rsidRPr="003204E2" w:rsidRDefault="00E77CB3" w:rsidP="003204E2">
      <w:pPr>
        <w:pStyle w:val="ECHRHeading1"/>
        <w:ind w:firstLine="7"/>
        <w:rPr>
          <w:lang w:val="fr-FR"/>
        </w:rPr>
      </w:pPr>
      <w:r w:rsidRPr="003204E2">
        <w:rPr>
          <w:lang w:val="fr-FR"/>
        </w:rPr>
        <w:t>SUR LA VIOLATION ALLÉGUÉE DE L</w:t>
      </w:r>
      <w:r w:rsidR="003204E2" w:rsidRPr="003204E2">
        <w:rPr>
          <w:lang w:val="fr-FR"/>
        </w:rPr>
        <w:t>’</w:t>
      </w:r>
      <w:r w:rsidRPr="003204E2">
        <w:rPr>
          <w:lang w:val="fr-FR"/>
        </w:rPr>
        <w:t xml:space="preserve">ARTICLE </w:t>
      </w:r>
      <w:r w:rsidR="00FE218D" w:rsidRPr="003204E2">
        <w:rPr>
          <w:lang w:val="fr-FR"/>
        </w:rPr>
        <w:t>10</w:t>
      </w:r>
      <w:r w:rsidRPr="003204E2">
        <w:rPr>
          <w:lang w:val="fr-FR"/>
        </w:rPr>
        <w:t xml:space="preserve"> DE LA CONVENTION</w:t>
      </w:r>
    </w:p>
    <w:p w:rsidR="00A17705" w:rsidRPr="003204E2" w:rsidRDefault="00FE218D"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32</w:t>
      </w:r>
      <w:r w:rsidRPr="003204E2">
        <w:rPr>
          <w:lang w:val="fr-FR"/>
        </w:rPr>
        <w:fldChar w:fldCharType="end"/>
      </w:r>
      <w:r w:rsidRPr="003204E2">
        <w:rPr>
          <w:lang w:val="fr-FR"/>
        </w:rPr>
        <w:t>.  Invoquant l</w:t>
      </w:r>
      <w:r w:rsidR="003204E2" w:rsidRPr="003204E2">
        <w:rPr>
          <w:lang w:val="fr-FR"/>
        </w:rPr>
        <w:t>’</w:t>
      </w:r>
      <w:r w:rsidRPr="003204E2">
        <w:rPr>
          <w:lang w:val="fr-FR"/>
        </w:rPr>
        <w:t>article 10 de la Convention, les requérants se plaignent de la perquisition de leur véhicule et de leur bureau de rédaction, de la saisie de leurs appareils radiophoniques et de leur condamnation. Ils estiment que ces mesures constituent une ingérence disproportionnée dans leur liberté d</w:t>
      </w:r>
      <w:r w:rsidR="003204E2" w:rsidRPr="003204E2">
        <w:rPr>
          <w:lang w:val="fr-FR"/>
        </w:rPr>
        <w:t>’</w:t>
      </w:r>
      <w:r w:rsidRPr="003204E2">
        <w:rPr>
          <w:lang w:val="fr-FR"/>
        </w:rPr>
        <w:t xml:space="preserve">expression, notamment dans le cadre de leur accès aux informations en tant que journalistes. </w:t>
      </w:r>
      <w:r w:rsidR="00A17705" w:rsidRPr="003204E2">
        <w:rPr>
          <w:lang w:val="fr-FR"/>
        </w:rPr>
        <w:t>Cette disposition se lit comme suit :</w:t>
      </w:r>
    </w:p>
    <w:p w:rsidR="00A17705" w:rsidRPr="003204E2" w:rsidRDefault="00A17705" w:rsidP="003204E2">
      <w:pPr>
        <w:pStyle w:val="ECHRParaQuote"/>
        <w:rPr>
          <w:lang w:val="fr-FR"/>
        </w:rPr>
      </w:pPr>
      <w:r w:rsidRPr="003204E2">
        <w:rPr>
          <w:lang w:val="fr-FR"/>
        </w:rPr>
        <w:lastRenderedPageBreak/>
        <w:t>« 1.  Toute personne a droit à la liberté d</w:t>
      </w:r>
      <w:r w:rsidR="003204E2" w:rsidRPr="003204E2">
        <w:rPr>
          <w:lang w:val="fr-FR"/>
        </w:rPr>
        <w:t>’</w:t>
      </w:r>
      <w:r w:rsidRPr="003204E2">
        <w:rPr>
          <w:lang w:val="fr-FR"/>
        </w:rPr>
        <w:t>expression. Ce droit comprend la liberté d</w:t>
      </w:r>
      <w:r w:rsidR="003204E2" w:rsidRPr="003204E2">
        <w:rPr>
          <w:lang w:val="fr-FR"/>
        </w:rPr>
        <w:t>’</w:t>
      </w:r>
      <w:r w:rsidRPr="003204E2">
        <w:rPr>
          <w:lang w:val="fr-FR"/>
        </w:rPr>
        <w:t>opinion et la liberté de recevoir ou de communiquer des informations ou des idées sans qu</w:t>
      </w:r>
      <w:r w:rsidR="003204E2" w:rsidRPr="003204E2">
        <w:rPr>
          <w:lang w:val="fr-FR"/>
        </w:rPr>
        <w:t>’</w:t>
      </w:r>
      <w:r w:rsidRPr="003204E2">
        <w:rPr>
          <w:lang w:val="fr-FR"/>
        </w:rPr>
        <w:t>il puisse y avoir ingérence d</w:t>
      </w:r>
      <w:r w:rsidR="003204E2" w:rsidRPr="003204E2">
        <w:rPr>
          <w:lang w:val="fr-FR"/>
        </w:rPr>
        <w:t>’</w:t>
      </w:r>
      <w:r w:rsidRPr="003204E2">
        <w:rPr>
          <w:lang w:val="fr-FR"/>
        </w:rPr>
        <w:t>autorités publiques et sans considération de frontière. Le présent article n</w:t>
      </w:r>
      <w:r w:rsidR="003204E2" w:rsidRPr="003204E2">
        <w:rPr>
          <w:lang w:val="fr-FR"/>
        </w:rPr>
        <w:t>’</w:t>
      </w:r>
      <w:r w:rsidRPr="003204E2">
        <w:rPr>
          <w:lang w:val="fr-FR"/>
        </w:rPr>
        <w:t>empêche pas les États de soumettre les entreprises de radiodiffusion, de cinéma ou de télévision à un régime d</w:t>
      </w:r>
      <w:r w:rsidR="003204E2" w:rsidRPr="003204E2">
        <w:rPr>
          <w:lang w:val="fr-FR"/>
        </w:rPr>
        <w:t>’</w:t>
      </w:r>
      <w:r w:rsidRPr="003204E2">
        <w:rPr>
          <w:lang w:val="fr-FR"/>
        </w:rPr>
        <w:t>autorisations.</w:t>
      </w:r>
    </w:p>
    <w:p w:rsidR="00A17705" w:rsidRPr="003204E2" w:rsidRDefault="00A17705" w:rsidP="003204E2">
      <w:pPr>
        <w:pStyle w:val="ECHRParaQuote"/>
        <w:rPr>
          <w:lang w:val="fr-FR"/>
        </w:rPr>
      </w:pPr>
      <w:r w:rsidRPr="003204E2">
        <w:rPr>
          <w:lang w:val="fr-FR"/>
        </w:rPr>
        <w:t>2.  L</w:t>
      </w:r>
      <w:r w:rsidR="003204E2" w:rsidRPr="003204E2">
        <w:rPr>
          <w:lang w:val="fr-FR"/>
        </w:rPr>
        <w:t>’</w:t>
      </w:r>
      <w:r w:rsidRPr="003204E2">
        <w:rPr>
          <w:lang w:val="fr-FR"/>
        </w:rPr>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003204E2" w:rsidRPr="003204E2">
        <w:rPr>
          <w:lang w:val="fr-FR"/>
        </w:rPr>
        <w:t>’</w:t>
      </w:r>
      <w:r w:rsidRPr="003204E2">
        <w:rPr>
          <w:lang w:val="fr-FR"/>
        </w:rPr>
        <w:t>intégrité territoriale ou à la sûreté publique, à la défense de l</w:t>
      </w:r>
      <w:r w:rsidR="003204E2" w:rsidRPr="003204E2">
        <w:rPr>
          <w:lang w:val="fr-FR"/>
        </w:rPr>
        <w:t>’</w:t>
      </w:r>
      <w:r w:rsidRPr="003204E2">
        <w:rPr>
          <w:lang w:val="fr-FR"/>
        </w:rPr>
        <w:t>ordre et à la prévention du crime, à la protection de la santé ou de la morale, à la protection de la réputation ou des droits d</w:t>
      </w:r>
      <w:r w:rsidR="003204E2" w:rsidRPr="003204E2">
        <w:rPr>
          <w:lang w:val="fr-FR"/>
        </w:rPr>
        <w:t>’</w:t>
      </w:r>
      <w:r w:rsidRPr="003204E2">
        <w:rPr>
          <w:lang w:val="fr-FR"/>
        </w:rPr>
        <w:t>autrui, pour empêcher la divulgation d</w:t>
      </w:r>
      <w:r w:rsidR="003204E2" w:rsidRPr="003204E2">
        <w:rPr>
          <w:lang w:val="fr-FR"/>
        </w:rPr>
        <w:t>’</w:t>
      </w:r>
      <w:r w:rsidRPr="003204E2">
        <w:rPr>
          <w:lang w:val="fr-FR"/>
        </w:rPr>
        <w:t>informations confidentielles ou pour garantir l</w:t>
      </w:r>
      <w:r w:rsidR="003204E2" w:rsidRPr="003204E2">
        <w:rPr>
          <w:lang w:val="fr-FR"/>
        </w:rPr>
        <w:t>’</w:t>
      </w:r>
      <w:r w:rsidRPr="003204E2">
        <w:rPr>
          <w:lang w:val="fr-FR"/>
        </w:rPr>
        <w:t>autorité et l</w:t>
      </w:r>
      <w:r w:rsidR="003204E2" w:rsidRPr="003204E2">
        <w:rPr>
          <w:lang w:val="fr-FR"/>
        </w:rPr>
        <w:t>’</w:t>
      </w:r>
      <w:r w:rsidRPr="003204E2">
        <w:rPr>
          <w:lang w:val="fr-FR"/>
        </w:rPr>
        <w:t>impartialité du pouvoir judiciaire. »</w:t>
      </w:r>
    </w:p>
    <w:p w:rsidR="00E77CB3" w:rsidRPr="003204E2" w:rsidRDefault="00E77CB3" w:rsidP="003204E2">
      <w:pPr>
        <w:pStyle w:val="ECHRHeading2"/>
        <w:rPr>
          <w:lang w:val="fr-FR"/>
        </w:rPr>
      </w:pPr>
      <w:r w:rsidRPr="003204E2">
        <w:rPr>
          <w:lang w:val="fr-FR"/>
        </w:rPr>
        <w:t>A.  Sur la recevabilité</w:t>
      </w:r>
    </w:p>
    <w:p w:rsidR="003204E2" w:rsidRPr="003204E2" w:rsidRDefault="00CA0C7E"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33</w:t>
      </w:r>
      <w:r w:rsidRPr="003204E2">
        <w:rPr>
          <w:lang w:val="fr-FR"/>
        </w:rPr>
        <w:fldChar w:fldCharType="end"/>
      </w:r>
      <w:r w:rsidRPr="003204E2">
        <w:rPr>
          <w:lang w:val="fr-FR"/>
        </w:rPr>
        <w:t>.  Le Gouvernement soutient d</w:t>
      </w:r>
      <w:r w:rsidR="003204E2" w:rsidRPr="003204E2">
        <w:rPr>
          <w:lang w:val="fr-FR"/>
        </w:rPr>
        <w:t>’</w:t>
      </w:r>
      <w:r w:rsidRPr="003204E2">
        <w:rPr>
          <w:lang w:val="fr-FR"/>
        </w:rPr>
        <w:t>emblée qu</w:t>
      </w:r>
      <w:r w:rsidR="003204E2" w:rsidRPr="003204E2">
        <w:rPr>
          <w:lang w:val="fr-FR"/>
        </w:rPr>
        <w:t>’</w:t>
      </w:r>
      <w:r w:rsidRPr="003204E2">
        <w:rPr>
          <w:lang w:val="fr-FR"/>
        </w:rPr>
        <w:t>en se penchant sur la question du respect du droit des requérants à la liberté d</w:t>
      </w:r>
      <w:r w:rsidR="003204E2" w:rsidRPr="003204E2">
        <w:rPr>
          <w:lang w:val="fr-FR"/>
        </w:rPr>
        <w:t>’</w:t>
      </w:r>
      <w:r w:rsidRPr="003204E2">
        <w:rPr>
          <w:lang w:val="fr-FR"/>
        </w:rPr>
        <w:t>expression dans le cas d</w:t>
      </w:r>
      <w:r w:rsidR="003204E2" w:rsidRPr="003204E2">
        <w:rPr>
          <w:lang w:val="fr-FR"/>
        </w:rPr>
        <w:t>’</w:t>
      </w:r>
      <w:r w:rsidRPr="003204E2">
        <w:rPr>
          <w:lang w:val="fr-FR"/>
        </w:rPr>
        <w:t>espèce, la Cour endosserait le rôle d</w:t>
      </w:r>
      <w:r w:rsidR="003204E2" w:rsidRPr="003204E2">
        <w:rPr>
          <w:lang w:val="fr-FR"/>
        </w:rPr>
        <w:t>’</w:t>
      </w:r>
      <w:r w:rsidRPr="003204E2">
        <w:rPr>
          <w:lang w:val="fr-FR"/>
        </w:rPr>
        <w:t>un juge de « quatrième instance », cette question ayant déjà été résolue par un arrêt de la Cour de cassation.</w:t>
      </w:r>
    </w:p>
    <w:p w:rsidR="00CA0C7E" w:rsidRPr="003204E2" w:rsidRDefault="00CA0C7E" w:rsidP="003204E2">
      <w:pPr>
        <w:pStyle w:val="ECHRPara"/>
        <w:rPr>
          <w:lang w:val="fr-FR"/>
        </w:rPr>
      </w:pPr>
      <w:r w:rsidRPr="003204E2">
        <w:fldChar w:fldCharType="begin"/>
      </w:r>
      <w:r w:rsidRPr="003204E2">
        <w:rPr>
          <w:lang w:val="fr-FR"/>
        </w:rPr>
        <w:instrText xml:space="preserve"> SEQ level0 \*arabic </w:instrText>
      </w:r>
      <w:r w:rsidRPr="003204E2">
        <w:fldChar w:fldCharType="separate"/>
      </w:r>
      <w:r w:rsidR="003204E2" w:rsidRPr="003204E2">
        <w:rPr>
          <w:noProof/>
          <w:lang w:val="fr-FR"/>
        </w:rPr>
        <w:t>34</w:t>
      </w:r>
      <w:r w:rsidRPr="003204E2">
        <w:fldChar w:fldCharType="end"/>
      </w:r>
      <w:r w:rsidRPr="003204E2">
        <w:rPr>
          <w:lang w:val="fr-FR"/>
        </w:rPr>
        <w:t>.  Il observe en outre que les requérants ne se sont référé à l</w:t>
      </w:r>
      <w:r w:rsidR="003204E2" w:rsidRPr="003204E2">
        <w:rPr>
          <w:lang w:val="fr-FR"/>
        </w:rPr>
        <w:t>’</w:t>
      </w:r>
      <w:r w:rsidRPr="003204E2">
        <w:rPr>
          <w:lang w:val="fr-FR"/>
        </w:rPr>
        <w:t>argument tiré de la liberté de la presse (article 51 du code pénal) qu</w:t>
      </w:r>
      <w:r w:rsidR="003204E2" w:rsidRPr="003204E2">
        <w:rPr>
          <w:lang w:val="fr-FR"/>
        </w:rPr>
        <w:t>’</w:t>
      </w:r>
      <w:r w:rsidRPr="003204E2">
        <w:rPr>
          <w:lang w:val="fr-FR"/>
        </w:rPr>
        <w:t>au stade de la procédure devant la Cour de cassation. Ainsi la présente requête devrait être rejetée pour non-épuisement des voies de recours internes, selon l</w:t>
      </w:r>
      <w:r w:rsidR="003204E2" w:rsidRPr="003204E2">
        <w:rPr>
          <w:lang w:val="fr-FR"/>
        </w:rPr>
        <w:t>’</w:t>
      </w:r>
      <w:r w:rsidRPr="003204E2">
        <w:rPr>
          <w:lang w:val="fr-FR"/>
        </w:rPr>
        <w:t>article 35 §§ 1 et 4 de la Convention.</w:t>
      </w:r>
    </w:p>
    <w:p w:rsidR="001E272C" w:rsidRPr="003204E2" w:rsidRDefault="001E272C" w:rsidP="003204E2">
      <w:pPr>
        <w:pStyle w:val="ECHRPara"/>
        <w:rPr>
          <w:lang w:val="fr-FR"/>
        </w:rPr>
      </w:pPr>
      <w:r w:rsidRPr="003204E2">
        <w:fldChar w:fldCharType="begin"/>
      </w:r>
      <w:r w:rsidRPr="003204E2">
        <w:rPr>
          <w:lang w:val="fr-FR"/>
        </w:rPr>
        <w:instrText xml:space="preserve"> SEQ level0 \*arabic </w:instrText>
      </w:r>
      <w:r w:rsidRPr="003204E2">
        <w:fldChar w:fldCharType="separate"/>
      </w:r>
      <w:r w:rsidR="003204E2" w:rsidRPr="003204E2">
        <w:rPr>
          <w:noProof/>
          <w:lang w:val="fr-FR"/>
        </w:rPr>
        <w:t>35</w:t>
      </w:r>
      <w:r w:rsidRPr="003204E2">
        <w:fldChar w:fldCharType="end"/>
      </w:r>
      <w:r w:rsidRPr="003204E2">
        <w:rPr>
          <w:lang w:val="fr-FR"/>
        </w:rPr>
        <w:t>.  Le Gouvernement estime ensuite que les faits portés à l</w:t>
      </w:r>
      <w:r w:rsidR="003204E2" w:rsidRPr="003204E2">
        <w:rPr>
          <w:lang w:val="fr-FR"/>
        </w:rPr>
        <w:t>’</w:t>
      </w:r>
      <w:r w:rsidRPr="003204E2">
        <w:rPr>
          <w:lang w:val="fr-FR"/>
        </w:rPr>
        <w:t>examen de la Cour ne relèvent pas de la liberté d</w:t>
      </w:r>
      <w:r w:rsidR="003204E2" w:rsidRPr="003204E2">
        <w:rPr>
          <w:lang w:val="fr-FR"/>
        </w:rPr>
        <w:t>’</w:t>
      </w:r>
      <w:r w:rsidRPr="003204E2">
        <w:rPr>
          <w:lang w:val="fr-FR"/>
        </w:rPr>
        <w:t>expression garantie par l</w:t>
      </w:r>
      <w:r w:rsidR="003204E2" w:rsidRPr="003204E2">
        <w:rPr>
          <w:lang w:val="fr-FR"/>
        </w:rPr>
        <w:t>’</w:t>
      </w:r>
      <w:r w:rsidRPr="003204E2">
        <w:rPr>
          <w:lang w:val="fr-FR"/>
        </w:rPr>
        <w:t>article 10 de la Convention, les requérants ayant été condamnés non pas pour avoir exprimé une idée ou publié une information mais pour avoir illégalement intercepté des communications qui, pour des raisons évidentes tenant à la sécurité publique, avai</w:t>
      </w:r>
      <w:r w:rsidR="00FD3025" w:rsidRPr="003204E2">
        <w:rPr>
          <w:lang w:val="fr-FR"/>
        </w:rPr>
        <w:t>en</w:t>
      </w:r>
      <w:r w:rsidRPr="003204E2">
        <w:rPr>
          <w:lang w:val="fr-FR"/>
        </w:rPr>
        <w:t>t caractère confidentiel.</w:t>
      </w:r>
    </w:p>
    <w:p w:rsidR="0022109F" w:rsidRPr="003204E2" w:rsidRDefault="00743DB9" w:rsidP="003204E2">
      <w:pPr>
        <w:pStyle w:val="ECHRPara"/>
        <w:rPr>
          <w:lang w:val="fr-FR"/>
        </w:rPr>
      </w:pPr>
      <w:r w:rsidRPr="003204E2">
        <w:fldChar w:fldCharType="begin"/>
      </w:r>
      <w:r w:rsidRPr="003204E2">
        <w:rPr>
          <w:lang w:val="fr-FR"/>
        </w:rPr>
        <w:instrText xml:space="preserve"> SEQ level0 \*arabic </w:instrText>
      </w:r>
      <w:r w:rsidRPr="003204E2">
        <w:fldChar w:fldCharType="separate"/>
      </w:r>
      <w:r w:rsidR="003204E2" w:rsidRPr="003204E2">
        <w:rPr>
          <w:noProof/>
          <w:lang w:val="fr-FR"/>
        </w:rPr>
        <w:t>36</w:t>
      </w:r>
      <w:r w:rsidRPr="003204E2">
        <w:fldChar w:fldCharType="end"/>
      </w:r>
      <w:r w:rsidRPr="003204E2">
        <w:rPr>
          <w:lang w:val="fr-FR"/>
        </w:rPr>
        <w:t>.  Quant à l</w:t>
      </w:r>
      <w:r w:rsidR="003204E2" w:rsidRPr="003204E2">
        <w:rPr>
          <w:lang w:val="fr-FR"/>
        </w:rPr>
        <w:t>’</w:t>
      </w:r>
      <w:r w:rsidRPr="003204E2">
        <w:rPr>
          <w:lang w:val="fr-FR"/>
        </w:rPr>
        <w:t>exception de non-épuisement des voies de recours internes, les requérants ind</w:t>
      </w:r>
      <w:r w:rsidR="00AF1385" w:rsidRPr="003204E2">
        <w:rPr>
          <w:lang w:val="fr-FR"/>
        </w:rPr>
        <w:t xml:space="preserve">iquent </w:t>
      </w:r>
      <w:r w:rsidRPr="003204E2">
        <w:rPr>
          <w:lang w:val="fr-FR"/>
        </w:rPr>
        <w:t>que, ayant été acquittés en première instance, ils n</w:t>
      </w:r>
      <w:r w:rsidR="003204E2" w:rsidRPr="003204E2">
        <w:rPr>
          <w:lang w:val="fr-FR"/>
        </w:rPr>
        <w:t>’</w:t>
      </w:r>
      <w:r w:rsidRPr="003204E2">
        <w:rPr>
          <w:lang w:val="fr-FR"/>
        </w:rPr>
        <w:t>avaient pas de raisons d</w:t>
      </w:r>
      <w:r w:rsidR="003204E2" w:rsidRPr="003204E2">
        <w:rPr>
          <w:lang w:val="fr-FR"/>
        </w:rPr>
        <w:t>’</w:t>
      </w:r>
      <w:r w:rsidRPr="003204E2">
        <w:rPr>
          <w:lang w:val="fr-FR"/>
        </w:rPr>
        <w:t>exciper la clause d</w:t>
      </w:r>
      <w:r w:rsidR="003204E2" w:rsidRPr="003204E2">
        <w:rPr>
          <w:lang w:val="fr-FR"/>
        </w:rPr>
        <w:t>’</w:t>
      </w:r>
      <w:r w:rsidRPr="003204E2">
        <w:rPr>
          <w:lang w:val="fr-FR"/>
        </w:rPr>
        <w:t>exemption au sens de l</w:t>
      </w:r>
      <w:r w:rsidR="003204E2" w:rsidRPr="003204E2">
        <w:rPr>
          <w:lang w:val="fr-FR"/>
        </w:rPr>
        <w:t>’</w:t>
      </w:r>
      <w:r w:rsidRPr="003204E2">
        <w:rPr>
          <w:lang w:val="fr-FR"/>
        </w:rPr>
        <w:t>article</w:t>
      </w:r>
      <w:r w:rsidR="004708AC" w:rsidRPr="003204E2">
        <w:rPr>
          <w:lang w:val="fr-FR"/>
        </w:rPr>
        <w:t> </w:t>
      </w:r>
      <w:r w:rsidRPr="003204E2">
        <w:rPr>
          <w:lang w:val="fr-FR"/>
        </w:rPr>
        <w:t>51 du code pénal à un stade antérieur à la procédure devant la Cour de cassation.</w:t>
      </w:r>
    </w:p>
    <w:p w:rsidR="003204E2" w:rsidRPr="003204E2" w:rsidRDefault="0022109F"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37</w:t>
      </w:r>
      <w:r w:rsidRPr="003204E2">
        <w:rPr>
          <w:lang w:val="fr-FR"/>
        </w:rPr>
        <w:fldChar w:fldCharType="end"/>
      </w:r>
      <w:r w:rsidRPr="003204E2">
        <w:rPr>
          <w:lang w:val="fr-FR"/>
        </w:rPr>
        <w:t xml:space="preserve">.  Les requérants relèvent que les </w:t>
      </w:r>
      <w:r w:rsidR="003A004E" w:rsidRPr="003204E2">
        <w:rPr>
          <w:lang w:val="fr-FR"/>
        </w:rPr>
        <w:t>radiof</w:t>
      </w:r>
      <w:r w:rsidRPr="003204E2">
        <w:rPr>
          <w:lang w:val="fr-FR"/>
        </w:rPr>
        <w:t>réquences dont il était question étaient librement accessibles. De plus, ils contestent la position du Gouvernement estimant avoir subi une ingérence dans leur droit d</w:t>
      </w:r>
      <w:r w:rsidR="003204E2" w:rsidRPr="003204E2">
        <w:rPr>
          <w:lang w:val="fr-FR"/>
        </w:rPr>
        <w:t>’</w:t>
      </w:r>
      <w:r w:rsidRPr="003204E2">
        <w:rPr>
          <w:lang w:val="fr-FR"/>
        </w:rPr>
        <w:t>informer. À ce propos, ils font valoir que la Cour a déjà conclu à l</w:t>
      </w:r>
      <w:r w:rsidR="003204E2" w:rsidRPr="003204E2">
        <w:rPr>
          <w:lang w:val="fr-FR"/>
        </w:rPr>
        <w:t>’</w:t>
      </w:r>
      <w:r w:rsidRPr="003204E2">
        <w:rPr>
          <w:lang w:val="fr-FR"/>
        </w:rPr>
        <w:t>applicabilité de l</w:t>
      </w:r>
      <w:r w:rsidR="003204E2" w:rsidRPr="003204E2">
        <w:rPr>
          <w:lang w:val="fr-FR"/>
        </w:rPr>
        <w:t>’</w:t>
      </w:r>
      <w:r w:rsidRPr="003204E2">
        <w:rPr>
          <w:lang w:val="fr-FR"/>
        </w:rPr>
        <w:t>article 10 dans des cas de condamnations suivant la communication d</w:t>
      </w:r>
      <w:r w:rsidR="003204E2" w:rsidRPr="003204E2">
        <w:rPr>
          <w:lang w:val="fr-FR"/>
        </w:rPr>
        <w:t>’</w:t>
      </w:r>
      <w:r w:rsidRPr="003204E2">
        <w:rPr>
          <w:lang w:val="fr-FR"/>
        </w:rPr>
        <w:t>informations confidentielles au stade d</w:t>
      </w:r>
      <w:r w:rsidR="003204E2" w:rsidRPr="003204E2">
        <w:rPr>
          <w:lang w:val="fr-FR"/>
        </w:rPr>
        <w:t>’</w:t>
      </w:r>
      <w:r w:rsidRPr="003204E2">
        <w:rPr>
          <w:lang w:val="fr-FR"/>
        </w:rPr>
        <w:t>une enquête préliminaire (</w:t>
      </w:r>
      <w:r w:rsidRPr="003204E2">
        <w:rPr>
          <w:i/>
          <w:lang w:val="fr-FR"/>
        </w:rPr>
        <w:t>Laranjeira Marques da Silva c. Portugal</w:t>
      </w:r>
      <w:r w:rsidRPr="003204E2">
        <w:rPr>
          <w:lang w:val="fr-FR"/>
        </w:rPr>
        <w:t>, n</w:t>
      </w:r>
      <w:r w:rsidRPr="003204E2">
        <w:rPr>
          <w:vertAlign w:val="superscript"/>
          <w:lang w:val="fr-FR"/>
        </w:rPr>
        <w:t>o </w:t>
      </w:r>
      <w:r w:rsidRPr="003204E2">
        <w:rPr>
          <w:lang w:val="fr-FR"/>
        </w:rPr>
        <w:t>16983/06</w:t>
      </w:r>
      <w:r w:rsidRPr="003204E2">
        <w:rPr>
          <w:snapToGrid w:val="0"/>
          <w:lang w:val="fr-FR"/>
        </w:rPr>
        <w:t>, 19 </w:t>
      </w:r>
      <w:r w:rsidRPr="003204E2">
        <w:rPr>
          <w:lang w:val="fr-FR"/>
        </w:rPr>
        <w:t>janvier</w:t>
      </w:r>
      <w:r w:rsidRPr="003204E2">
        <w:rPr>
          <w:snapToGrid w:val="0"/>
          <w:lang w:val="fr-FR"/>
        </w:rPr>
        <w:t xml:space="preserve"> 2010</w:t>
      </w:r>
      <w:r w:rsidRPr="003204E2">
        <w:rPr>
          <w:lang w:val="fr-FR"/>
        </w:rPr>
        <w:t>), ou ayant trait à des secrets d</w:t>
      </w:r>
      <w:r w:rsidR="003204E2" w:rsidRPr="003204E2">
        <w:rPr>
          <w:lang w:val="fr-FR"/>
        </w:rPr>
        <w:t>’</w:t>
      </w:r>
      <w:r w:rsidRPr="003204E2">
        <w:rPr>
          <w:lang w:val="fr-FR"/>
        </w:rPr>
        <w:t>État (</w:t>
      </w:r>
      <w:r w:rsidRPr="003204E2">
        <w:rPr>
          <w:i/>
          <w:lang w:val="fr-FR"/>
        </w:rPr>
        <w:t>Stoll c. Suisse</w:t>
      </w:r>
      <w:r w:rsidRPr="003204E2">
        <w:rPr>
          <w:lang w:val="fr-FR"/>
        </w:rPr>
        <w:t xml:space="preserve"> [GC], n</w:t>
      </w:r>
      <w:r w:rsidRPr="003204E2">
        <w:rPr>
          <w:vertAlign w:val="superscript"/>
          <w:lang w:val="fr-FR"/>
        </w:rPr>
        <w:t>o </w:t>
      </w:r>
      <w:r w:rsidRPr="003204E2">
        <w:rPr>
          <w:lang w:val="fr-FR"/>
        </w:rPr>
        <w:t>69698/01, CEDH 2007</w:t>
      </w:r>
      <w:r w:rsidRPr="003204E2">
        <w:rPr>
          <w:lang w:val="fr-FR"/>
        </w:rPr>
        <w:noBreakHyphen/>
        <w:t>V) ou encore, dans un cas de reproduction, dans un livre, d</w:t>
      </w:r>
      <w:r w:rsidR="003204E2" w:rsidRPr="003204E2">
        <w:rPr>
          <w:lang w:val="fr-FR"/>
        </w:rPr>
        <w:t>’</w:t>
      </w:r>
      <w:r w:rsidRPr="003204E2">
        <w:rPr>
          <w:lang w:val="fr-FR"/>
        </w:rPr>
        <w:t>éléments d</w:t>
      </w:r>
      <w:r w:rsidR="003204E2" w:rsidRPr="003204E2">
        <w:rPr>
          <w:lang w:val="fr-FR"/>
        </w:rPr>
        <w:t>’</w:t>
      </w:r>
      <w:r w:rsidRPr="003204E2">
        <w:rPr>
          <w:lang w:val="fr-FR"/>
        </w:rPr>
        <w:t>un dossier d</w:t>
      </w:r>
      <w:r w:rsidR="003204E2" w:rsidRPr="003204E2">
        <w:rPr>
          <w:lang w:val="fr-FR"/>
        </w:rPr>
        <w:t>’</w:t>
      </w:r>
      <w:r w:rsidRPr="003204E2">
        <w:rPr>
          <w:lang w:val="fr-FR"/>
        </w:rPr>
        <w:t>instruction pénal (</w:t>
      </w:r>
      <w:r w:rsidRPr="003204E2">
        <w:rPr>
          <w:i/>
          <w:lang w:val="fr-FR"/>
        </w:rPr>
        <w:t>Dupuis et autres c. France</w:t>
      </w:r>
      <w:r w:rsidRPr="003204E2">
        <w:rPr>
          <w:lang w:val="fr-FR"/>
        </w:rPr>
        <w:t>, n</w:t>
      </w:r>
      <w:r w:rsidRPr="003204E2">
        <w:rPr>
          <w:vertAlign w:val="superscript"/>
          <w:lang w:val="fr-FR"/>
        </w:rPr>
        <w:t>o</w:t>
      </w:r>
      <w:r w:rsidRPr="003204E2">
        <w:rPr>
          <w:lang w:val="fr-FR"/>
        </w:rPr>
        <w:t xml:space="preserve"> 1914/02, 7 juin 2007).</w:t>
      </w:r>
    </w:p>
    <w:p w:rsidR="00571DC6" w:rsidRPr="003204E2" w:rsidRDefault="00571DC6" w:rsidP="003204E2">
      <w:pPr>
        <w:pStyle w:val="ECHRPara"/>
        <w:rPr>
          <w:lang w:val="fr-FR"/>
        </w:rPr>
      </w:pPr>
      <w:r w:rsidRPr="003204E2">
        <w:rPr>
          <w:lang w:val="fr-FR"/>
        </w:rPr>
        <w:lastRenderedPageBreak/>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38</w:t>
      </w:r>
      <w:r w:rsidRPr="003204E2">
        <w:rPr>
          <w:lang w:val="fr-FR"/>
        </w:rPr>
        <w:fldChar w:fldCharType="end"/>
      </w:r>
      <w:r w:rsidRPr="003204E2">
        <w:rPr>
          <w:lang w:val="fr-FR"/>
        </w:rPr>
        <w:t>.  Les requérants dénoncent enfin pour la première fois dans leurs observations en réponse à celles du Gouvernement que l</w:t>
      </w:r>
      <w:r w:rsidR="003204E2" w:rsidRPr="003204E2">
        <w:rPr>
          <w:lang w:val="fr-FR"/>
        </w:rPr>
        <w:t>’</w:t>
      </w:r>
      <w:r w:rsidRPr="003204E2">
        <w:rPr>
          <w:lang w:val="fr-FR"/>
        </w:rPr>
        <w:t>opération de police dont ils ont fait l</w:t>
      </w:r>
      <w:r w:rsidR="003204E2" w:rsidRPr="003204E2">
        <w:rPr>
          <w:lang w:val="fr-FR"/>
        </w:rPr>
        <w:t>’</w:t>
      </w:r>
      <w:r w:rsidRPr="003204E2">
        <w:rPr>
          <w:lang w:val="fr-FR"/>
        </w:rPr>
        <w:t>objet aurait été orchestrée.</w:t>
      </w:r>
    </w:p>
    <w:p w:rsidR="00CA0C7E" w:rsidRPr="003204E2" w:rsidRDefault="00CA0C7E"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39</w:t>
      </w:r>
      <w:r w:rsidRPr="003204E2">
        <w:rPr>
          <w:lang w:val="fr-FR"/>
        </w:rPr>
        <w:fldChar w:fldCharType="end"/>
      </w:r>
      <w:r w:rsidRPr="003204E2">
        <w:rPr>
          <w:lang w:val="fr-FR"/>
        </w:rPr>
        <w:t>.  La Cour considère tout d</w:t>
      </w:r>
      <w:r w:rsidR="003204E2" w:rsidRPr="003204E2">
        <w:rPr>
          <w:lang w:val="fr-FR"/>
        </w:rPr>
        <w:t>’</w:t>
      </w:r>
      <w:r w:rsidRPr="003204E2">
        <w:rPr>
          <w:lang w:val="fr-FR"/>
        </w:rPr>
        <w:t xml:space="preserve">abord que le grief en examen ne porte pas sur une violation du droit à un procès équitable (voir </w:t>
      </w:r>
      <w:r w:rsidRPr="003204E2">
        <w:rPr>
          <w:i/>
          <w:lang w:val="fr-FR"/>
        </w:rPr>
        <w:t>Contrada c. Italie (n</w:t>
      </w:r>
      <w:r w:rsidRPr="003204E2">
        <w:rPr>
          <w:i/>
          <w:vertAlign w:val="superscript"/>
          <w:lang w:val="fr-FR"/>
        </w:rPr>
        <w:t>o</w:t>
      </w:r>
      <w:r w:rsidR="00AF1385" w:rsidRPr="003204E2">
        <w:rPr>
          <w:i/>
          <w:vertAlign w:val="superscript"/>
          <w:lang w:val="fr-FR"/>
        </w:rPr>
        <w:t> </w:t>
      </w:r>
      <w:r w:rsidRPr="003204E2">
        <w:rPr>
          <w:i/>
          <w:lang w:val="fr-FR"/>
        </w:rPr>
        <w:t>2)</w:t>
      </w:r>
      <w:r w:rsidRPr="003204E2">
        <w:rPr>
          <w:lang w:val="fr-FR"/>
        </w:rPr>
        <w:t>, n</w:t>
      </w:r>
      <w:r w:rsidRPr="003204E2">
        <w:rPr>
          <w:vertAlign w:val="superscript"/>
          <w:lang w:val="fr-FR"/>
        </w:rPr>
        <w:t>o</w:t>
      </w:r>
      <w:r w:rsidRPr="003204E2">
        <w:rPr>
          <w:lang w:val="fr-FR"/>
        </w:rPr>
        <w:t xml:space="preserve"> 7509/08, § 70, 11 février 2014 et, </w:t>
      </w:r>
      <w:r w:rsidRPr="003204E2">
        <w:rPr>
          <w:i/>
          <w:lang w:val="fr-FR"/>
        </w:rPr>
        <w:t>a contrario</w:t>
      </w:r>
      <w:r w:rsidRPr="003204E2">
        <w:rPr>
          <w:lang w:val="fr-FR"/>
        </w:rPr>
        <w:t>, parmi beaucoup d</w:t>
      </w:r>
      <w:r w:rsidR="003204E2" w:rsidRPr="003204E2">
        <w:rPr>
          <w:lang w:val="fr-FR"/>
        </w:rPr>
        <w:t>’</w:t>
      </w:r>
      <w:r w:rsidRPr="003204E2">
        <w:rPr>
          <w:lang w:val="fr-FR"/>
        </w:rPr>
        <w:t xml:space="preserve">autres, </w:t>
      </w:r>
      <w:r w:rsidRPr="003204E2">
        <w:rPr>
          <w:i/>
          <w:lang w:val="fr-FR"/>
        </w:rPr>
        <w:t>Gäfgen c. Allemagne</w:t>
      </w:r>
      <w:r w:rsidRPr="003204E2">
        <w:rPr>
          <w:lang w:val="fr-FR"/>
        </w:rPr>
        <w:t xml:space="preserve"> [GC], n</w:t>
      </w:r>
      <w:r w:rsidR="00681DD3" w:rsidRPr="003204E2">
        <w:rPr>
          <w:vertAlign w:val="superscript"/>
          <w:lang w:val="fr-FR"/>
        </w:rPr>
        <w:t>o</w:t>
      </w:r>
      <w:r w:rsidRPr="003204E2">
        <w:rPr>
          <w:lang w:val="fr-FR"/>
        </w:rPr>
        <w:t> 22978/05, § 162, CEDH 2010) et que c</w:t>
      </w:r>
      <w:r w:rsidR="003204E2" w:rsidRPr="003204E2">
        <w:rPr>
          <w:lang w:val="fr-FR"/>
        </w:rPr>
        <w:t>’</w:t>
      </w:r>
      <w:r w:rsidRPr="003204E2">
        <w:rPr>
          <w:lang w:val="fr-FR"/>
        </w:rPr>
        <w:t>est en règle générale dans ce contexte que le rôle de la Cour en tant que « quatrième instance » peut être évalué.</w:t>
      </w:r>
    </w:p>
    <w:p w:rsidR="00CA0C7E" w:rsidRPr="003204E2" w:rsidRDefault="00574005"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40</w:t>
      </w:r>
      <w:r w:rsidRPr="003204E2">
        <w:rPr>
          <w:lang w:val="fr-FR"/>
        </w:rPr>
        <w:fldChar w:fldCharType="end"/>
      </w:r>
      <w:r w:rsidRPr="003204E2">
        <w:rPr>
          <w:lang w:val="fr-FR"/>
        </w:rPr>
        <w:t>.  </w:t>
      </w:r>
      <w:r w:rsidR="003D0D5D" w:rsidRPr="003204E2">
        <w:rPr>
          <w:lang w:val="fr-FR"/>
        </w:rPr>
        <w:t>Quant à l</w:t>
      </w:r>
      <w:r w:rsidR="003204E2" w:rsidRPr="003204E2">
        <w:rPr>
          <w:lang w:val="fr-FR"/>
        </w:rPr>
        <w:t>’</w:t>
      </w:r>
      <w:r w:rsidR="003D0D5D" w:rsidRPr="003204E2">
        <w:rPr>
          <w:lang w:val="fr-FR"/>
        </w:rPr>
        <w:t>exception non-épuisement des voies de recours internes</w:t>
      </w:r>
      <w:r w:rsidRPr="003204E2">
        <w:rPr>
          <w:lang w:val="fr-FR"/>
        </w:rPr>
        <w:t>, à l</w:t>
      </w:r>
      <w:r w:rsidR="003204E2" w:rsidRPr="003204E2">
        <w:rPr>
          <w:lang w:val="fr-FR"/>
        </w:rPr>
        <w:t>’</w:t>
      </w:r>
      <w:r w:rsidRPr="003204E2">
        <w:rPr>
          <w:lang w:val="fr-FR"/>
        </w:rPr>
        <w:t xml:space="preserve">instar des requérants, la Cour </w:t>
      </w:r>
      <w:r w:rsidR="006E2021" w:rsidRPr="003204E2">
        <w:rPr>
          <w:lang w:val="fr-FR"/>
        </w:rPr>
        <w:t>relève</w:t>
      </w:r>
      <w:r w:rsidRPr="003204E2">
        <w:rPr>
          <w:lang w:val="fr-FR"/>
        </w:rPr>
        <w:t xml:space="preserve"> que ceux-ci ont soulevé leur grief au premier stade </w:t>
      </w:r>
      <w:r w:rsidR="006E2021" w:rsidRPr="003204E2">
        <w:rPr>
          <w:lang w:val="fr-FR"/>
        </w:rPr>
        <w:t>utile</w:t>
      </w:r>
      <w:r w:rsidRPr="003204E2">
        <w:rPr>
          <w:lang w:val="fr-FR"/>
        </w:rPr>
        <w:t xml:space="preserve"> de la procédure. Il convient donc de rejeter l</w:t>
      </w:r>
      <w:r w:rsidR="003204E2" w:rsidRPr="003204E2">
        <w:rPr>
          <w:lang w:val="fr-FR"/>
        </w:rPr>
        <w:t>’</w:t>
      </w:r>
      <w:r w:rsidRPr="003204E2">
        <w:rPr>
          <w:lang w:val="fr-FR"/>
        </w:rPr>
        <w:t>exception soulevée par le gouvernement défendeur.</w:t>
      </w:r>
    </w:p>
    <w:p w:rsidR="00596B0F" w:rsidRPr="003204E2" w:rsidRDefault="00596B0F"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41</w:t>
      </w:r>
      <w:r w:rsidRPr="003204E2">
        <w:rPr>
          <w:lang w:val="fr-FR"/>
        </w:rPr>
        <w:fldChar w:fldCharType="end"/>
      </w:r>
      <w:r w:rsidRPr="003204E2">
        <w:rPr>
          <w:lang w:val="fr-FR"/>
        </w:rPr>
        <w:t>.  La Cour observe ensuite que le Gouvernement conteste que les requérants aient fait l</w:t>
      </w:r>
      <w:r w:rsidR="003204E2" w:rsidRPr="003204E2">
        <w:rPr>
          <w:lang w:val="fr-FR"/>
        </w:rPr>
        <w:t>’</w:t>
      </w:r>
      <w:r w:rsidRPr="003204E2">
        <w:rPr>
          <w:lang w:val="fr-FR"/>
        </w:rPr>
        <w:t>objet d</w:t>
      </w:r>
      <w:r w:rsidR="003204E2" w:rsidRPr="003204E2">
        <w:rPr>
          <w:lang w:val="fr-FR"/>
        </w:rPr>
        <w:t>’</w:t>
      </w:r>
      <w:r w:rsidRPr="003204E2">
        <w:rPr>
          <w:lang w:val="fr-FR"/>
        </w:rPr>
        <w:t>une ingérence dans leur liberté d</w:t>
      </w:r>
      <w:r w:rsidR="003204E2" w:rsidRPr="003204E2">
        <w:rPr>
          <w:lang w:val="fr-FR"/>
        </w:rPr>
        <w:t>’</w:t>
      </w:r>
      <w:r w:rsidRPr="003204E2">
        <w:rPr>
          <w:lang w:val="fr-FR"/>
        </w:rPr>
        <w:t>expression. L</w:t>
      </w:r>
      <w:r w:rsidR="003204E2" w:rsidRPr="003204E2">
        <w:rPr>
          <w:lang w:val="fr-FR"/>
        </w:rPr>
        <w:t>’</w:t>
      </w:r>
      <w:r w:rsidRPr="003204E2">
        <w:rPr>
          <w:lang w:val="fr-FR"/>
        </w:rPr>
        <w:t>article 10 de la Convention ne serait donc pas applicable en l</w:t>
      </w:r>
      <w:r w:rsidR="003204E2" w:rsidRPr="003204E2">
        <w:rPr>
          <w:lang w:val="fr-FR"/>
        </w:rPr>
        <w:t>’</w:t>
      </w:r>
      <w:r w:rsidRPr="003204E2">
        <w:rPr>
          <w:lang w:val="fr-FR"/>
        </w:rPr>
        <w:t>espèce. La Cour rappelle que, dans leur qualité de journalistes, les requérants se plaignent de leur condamnation pour avoir accédé à des informations que le système juridique italien classifie de confidentielles.</w:t>
      </w:r>
    </w:p>
    <w:p w:rsidR="003204E2" w:rsidRPr="003204E2" w:rsidRDefault="00596B0F"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42</w:t>
      </w:r>
      <w:r w:rsidRPr="003204E2">
        <w:rPr>
          <w:lang w:val="fr-FR"/>
        </w:rPr>
        <w:fldChar w:fldCharType="end"/>
      </w:r>
      <w:r w:rsidRPr="003204E2">
        <w:rPr>
          <w:lang w:val="fr-FR"/>
        </w:rPr>
        <w:t>.  Elle constate que les exemples de jurisprudence auxquels les requérants se réfèrent e</w:t>
      </w:r>
      <w:r w:rsidR="0087591D" w:rsidRPr="003204E2">
        <w:rPr>
          <w:lang w:val="fr-FR"/>
        </w:rPr>
        <w:t>n vue de démontrer l</w:t>
      </w:r>
      <w:r w:rsidR="003204E2" w:rsidRPr="003204E2">
        <w:rPr>
          <w:lang w:val="fr-FR"/>
        </w:rPr>
        <w:t>’</w:t>
      </w:r>
      <w:r w:rsidR="0087591D" w:rsidRPr="003204E2">
        <w:rPr>
          <w:lang w:val="fr-FR"/>
        </w:rPr>
        <w:t>existence</w:t>
      </w:r>
      <w:r w:rsidRPr="003204E2">
        <w:rPr>
          <w:lang w:val="fr-FR"/>
        </w:rPr>
        <w:t xml:space="preserve"> de leur droit d</w:t>
      </w:r>
      <w:r w:rsidR="003204E2" w:rsidRPr="003204E2">
        <w:rPr>
          <w:lang w:val="fr-FR"/>
        </w:rPr>
        <w:t>’</w:t>
      </w:r>
      <w:r w:rsidRPr="003204E2">
        <w:rPr>
          <w:lang w:val="fr-FR"/>
        </w:rPr>
        <w:t>informer portent toutefois sur des circonstances différentes de celles de la présente affaire, car elles concernent des sanctions ayant suivi la publication de certaines informations.</w:t>
      </w:r>
    </w:p>
    <w:p w:rsidR="003204E2" w:rsidRPr="003204E2" w:rsidRDefault="00A70BA4"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43</w:t>
      </w:r>
      <w:r w:rsidRPr="003204E2">
        <w:rPr>
          <w:lang w:val="fr-FR"/>
        </w:rPr>
        <w:fldChar w:fldCharType="end"/>
      </w:r>
      <w:r w:rsidRPr="003204E2">
        <w:rPr>
          <w:lang w:val="fr-FR"/>
        </w:rPr>
        <w:t>.  </w:t>
      </w:r>
      <w:r w:rsidR="00596B0F" w:rsidRPr="003204E2">
        <w:rPr>
          <w:lang w:val="fr-FR"/>
        </w:rPr>
        <w:t>La Cour relève avoir conclu plus récemment à l</w:t>
      </w:r>
      <w:r w:rsidR="003204E2" w:rsidRPr="003204E2">
        <w:rPr>
          <w:lang w:val="fr-FR"/>
        </w:rPr>
        <w:t>’</w:t>
      </w:r>
      <w:r w:rsidR="00596B0F" w:rsidRPr="003204E2">
        <w:rPr>
          <w:lang w:val="fr-FR"/>
        </w:rPr>
        <w:t>applicabilité de l</w:t>
      </w:r>
      <w:r w:rsidR="003204E2" w:rsidRPr="003204E2">
        <w:rPr>
          <w:lang w:val="fr-FR"/>
        </w:rPr>
        <w:t>’</w:t>
      </w:r>
      <w:r w:rsidR="00596B0F" w:rsidRPr="003204E2">
        <w:rPr>
          <w:lang w:val="fr-FR"/>
        </w:rPr>
        <w:t>article 10 dans un cas concernant le comportement d</w:t>
      </w:r>
      <w:r w:rsidR="003204E2" w:rsidRPr="003204E2">
        <w:rPr>
          <w:lang w:val="fr-FR"/>
        </w:rPr>
        <w:t>’</w:t>
      </w:r>
      <w:r w:rsidR="00596B0F" w:rsidRPr="003204E2">
        <w:rPr>
          <w:lang w:val="fr-FR"/>
        </w:rPr>
        <w:t>un journaliste ayant refusé d</w:t>
      </w:r>
      <w:r w:rsidR="003204E2" w:rsidRPr="003204E2">
        <w:rPr>
          <w:lang w:val="fr-FR"/>
        </w:rPr>
        <w:t>’</w:t>
      </w:r>
      <w:r w:rsidR="00596B0F" w:rsidRPr="003204E2">
        <w:rPr>
          <w:lang w:val="fr-FR"/>
        </w:rPr>
        <w:t>obtempérer à des ordres de la police lors d</w:t>
      </w:r>
      <w:r w:rsidR="003204E2" w:rsidRPr="003204E2">
        <w:rPr>
          <w:lang w:val="fr-FR"/>
        </w:rPr>
        <w:t>’</w:t>
      </w:r>
      <w:r w:rsidR="00596B0F" w:rsidRPr="003204E2">
        <w:rPr>
          <w:lang w:val="fr-FR"/>
        </w:rPr>
        <w:t>une manifestation, et avoir examiné les mesures prises à son encontre (</w:t>
      </w:r>
      <w:r w:rsidR="00E90D61" w:rsidRPr="003204E2">
        <w:rPr>
          <w:i/>
          <w:lang w:val="fr-FR"/>
        </w:rPr>
        <w:t xml:space="preserve">Pentikäinen c. Finlande </w:t>
      </w:r>
      <w:r w:rsidR="00E90D61" w:rsidRPr="003204E2">
        <w:rPr>
          <w:lang w:val="fr-FR"/>
        </w:rPr>
        <w:t>([GC], n</w:t>
      </w:r>
      <w:r w:rsidR="00E90D61" w:rsidRPr="003204E2">
        <w:rPr>
          <w:vertAlign w:val="superscript"/>
          <w:lang w:val="fr-FR"/>
        </w:rPr>
        <w:t>o </w:t>
      </w:r>
      <w:r w:rsidR="00E90D61" w:rsidRPr="003204E2">
        <w:rPr>
          <w:lang w:val="fr-FR"/>
        </w:rPr>
        <w:t>11882/10, CEDH 2015</w:t>
      </w:r>
      <w:r w:rsidR="00596B0F" w:rsidRPr="003204E2">
        <w:rPr>
          <w:lang w:val="fr-FR"/>
        </w:rPr>
        <w:t>).</w:t>
      </w:r>
      <w:r w:rsidR="006E1D13" w:rsidRPr="003204E2">
        <w:rPr>
          <w:lang w:val="fr-FR"/>
        </w:rPr>
        <w:t xml:space="preserve"> </w:t>
      </w:r>
      <w:r w:rsidR="00596B0F" w:rsidRPr="003204E2">
        <w:rPr>
          <w:lang w:val="fr-FR"/>
        </w:rPr>
        <w:t>En tout état de cause, elle note qu</w:t>
      </w:r>
      <w:r w:rsidR="003204E2" w:rsidRPr="003204E2">
        <w:rPr>
          <w:lang w:val="fr-FR"/>
        </w:rPr>
        <w:t>’</w:t>
      </w:r>
      <w:r w:rsidR="00596B0F" w:rsidRPr="003204E2">
        <w:rPr>
          <w:lang w:val="fr-FR"/>
        </w:rPr>
        <w:t>aucune des affaires susmentionnées ne concerne la question, nouvelle, de l</w:t>
      </w:r>
      <w:r w:rsidR="003204E2" w:rsidRPr="003204E2">
        <w:rPr>
          <w:lang w:val="fr-FR"/>
        </w:rPr>
        <w:t>’</w:t>
      </w:r>
      <w:r w:rsidR="00596B0F" w:rsidRPr="003204E2">
        <w:rPr>
          <w:lang w:val="fr-FR"/>
        </w:rPr>
        <w:t xml:space="preserve">interception de la part de journalistes de </w:t>
      </w:r>
      <w:r w:rsidR="00CD0964" w:rsidRPr="003204E2">
        <w:rPr>
          <w:lang w:val="fr-FR"/>
        </w:rPr>
        <w:t>radio</w:t>
      </w:r>
      <w:r w:rsidR="00596B0F" w:rsidRPr="003204E2">
        <w:rPr>
          <w:lang w:val="fr-FR"/>
        </w:rPr>
        <w:t xml:space="preserve">communications confidentielles </w:t>
      </w:r>
      <w:r w:rsidR="00CD0964" w:rsidRPr="003204E2">
        <w:rPr>
          <w:lang w:val="fr-FR"/>
        </w:rPr>
        <w:t xml:space="preserve">ayant eu lieu entre </w:t>
      </w:r>
      <w:r w:rsidR="00596B0F" w:rsidRPr="003204E2">
        <w:rPr>
          <w:lang w:val="fr-FR"/>
        </w:rPr>
        <w:t>des membres de forces de l</w:t>
      </w:r>
      <w:r w:rsidR="003204E2" w:rsidRPr="003204E2">
        <w:rPr>
          <w:lang w:val="fr-FR"/>
        </w:rPr>
        <w:t>’</w:t>
      </w:r>
      <w:r w:rsidR="00596B0F" w:rsidRPr="003204E2">
        <w:rPr>
          <w:lang w:val="fr-FR"/>
        </w:rPr>
        <w:t>ordre dans l</w:t>
      </w:r>
      <w:r w:rsidR="003204E2" w:rsidRPr="003204E2">
        <w:rPr>
          <w:lang w:val="fr-FR"/>
        </w:rPr>
        <w:t>’</w:t>
      </w:r>
      <w:r w:rsidR="00596B0F" w:rsidRPr="003204E2">
        <w:rPr>
          <w:lang w:val="fr-FR"/>
        </w:rPr>
        <w:t>exercice de leurs fonctions.</w:t>
      </w:r>
    </w:p>
    <w:p w:rsidR="00FB5FBC" w:rsidRPr="003204E2" w:rsidRDefault="00FB5FB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44</w:t>
      </w:r>
      <w:r w:rsidRPr="003204E2">
        <w:rPr>
          <w:lang w:val="fr-FR"/>
        </w:rPr>
        <w:fldChar w:fldCharType="end"/>
      </w:r>
      <w:r w:rsidRPr="003204E2">
        <w:rPr>
          <w:lang w:val="fr-FR"/>
        </w:rPr>
        <w:t>.  Se pose dès lors la question de savoir si l</w:t>
      </w:r>
      <w:r w:rsidR="003204E2" w:rsidRPr="003204E2">
        <w:rPr>
          <w:lang w:val="fr-FR"/>
        </w:rPr>
        <w:t>’</w:t>
      </w:r>
      <w:r w:rsidRPr="003204E2">
        <w:rPr>
          <w:lang w:val="fr-FR"/>
        </w:rPr>
        <w:t>affaire de la requérante entre dans le champ de l</w:t>
      </w:r>
      <w:r w:rsidR="003204E2" w:rsidRPr="003204E2">
        <w:rPr>
          <w:lang w:val="fr-FR"/>
        </w:rPr>
        <w:t>’</w:t>
      </w:r>
      <w:r w:rsidRPr="003204E2">
        <w:rPr>
          <w:lang w:val="fr-FR"/>
        </w:rPr>
        <w:t>article 10 de la Convention. Toutefois, la Cour n</w:t>
      </w:r>
      <w:r w:rsidR="003204E2" w:rsidRPr="003204E2">
        <w:rPr>
          <w:lang w:val="fr-FR"/>
        </w:rPr>
        <w:t>’</w:t>
      </w:r>
      <w:r w:rsidRPr="003204E2">
        <w:rPr>
          <w:lang w:val="fr-FR"/>
        </w:rPr>
        <w:t>estime pas nécessaire de devoir trancher cette question car à supposer même qu</w:t>
      </w:r>
      <w:r w:rsidR="003204E2" w:rsidRPr="003204E2">
        <w:rPr>
          <w:lang w:val="fr-FR"/>
        </w:rPr>
        <w:t>’</w:t>
      </w:r>
      <w:r w:rsidRPr="003204E2">
        <w:rPr>
          <w:lang w:val="fr-FR"/>
        </w:rPr>
        <w:t>il y aurait eu une ingérence dans les droits garantis par cette disposition de la Convention, elle serait justifiée pour les raisons exposées ci-dessous (paragraphes 57 à 68).</w:t>
      </w:r>
    </w:p>
    <w:p w:rsidR="00571DC6" w:rsidRPr="003204E2" w:rsidRDefault="00571DC6" w:rsidP="003204E2">
      <w:pPr>
        <w:pStyle w:val="ECHRPara"/>
        <w:rPr>
          <w:i/>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45</w:t>
      </w:r>
      <w:r w:rsidRPr="003204E2">
        <w:rPr>
          <w:lang w:val="fr-FR"/>
        </w:rPr>
        <w:fldChar w:fldCharType="end"/>
      </w:r>
      <w:r w:rsidRPr="003204E2">
        <w:rPr>
          <w:lang w:val="fr-FR"/>
        </w:rPr>
        <w:t>.  Enfin, la Cour constate que le grief des requérants portant sur la prétendue orchestration de l</w:t>
      </w:r>
      <w:r w:rsidR="003204E2" w:rsidRPr="003204E2">
        <w:rPr>
          <w:lang w:val="fr-FR"/>
        </w:rPr>
        <w:t>’</w:t>
      </w:r>
      <w:r w:rsidRPr="003204E2">
        <w:rPr>
          <w:lang w:val="fr-FR"/>
        </w:rPr>
        <w:t>opération de police dont ils ont fait l</w:t>
      </w:r>
      <w:r w:rsidR="003204E2" w:rsidRPr="003204E2">
        <w:rPr>
          <w:lang w:val="fr-FR"/>
        </w:rPr>
        <w:t>’</w:t>
      </w:r>
      <w:r w:rsidRPr="003204E2">
        <w:rPr>
          <w:lang w:val="fr-FR"/>
        </w:rPr>
        <w:t>objet a été introduit après la communication de la requête au gouvernement défendeur</w:t>
      </w:r>
      <w:r w:rsidR="004C6435" w:rsidRPr="003204E2">
        <w:rPr>
          <w:lang w:val="fr-FR"/>
        </w:rPr>
        <w:t>. Qui plus est, il</w:t>
      </w:r>
      <w:r w:rsidRPr="003204E2">
        <w:rPr>
          <w:lang w:val="fr-FR"/>
        </w:rPr>
        <w:t xml:space="preserve"> n</w:t>
      </w:r>
      <w:r w:rsidR="003204E2" w:rsidRPr="003204E2">
        <w:rPr>
          <w:lang w:val="fr-FR"/>
        </w:rPr>
        <w:t>’</w:t>
      </w:r>
      <w:r w:rsidRPr="003204E2">
        <w:rPr>
          <w:lang w:val="fr-FR"/>
        </w:rPr>
        <w:t xml:space="preserve">a pas constitué un aspect de la requête sur lequel les parties ont échangé leurs observations (voir </w:t>
      </w:r>
      <w:r w:rsidRPr="003204E2">
        <w:rPr>
          <w:i/>
          <w:lang w:val="fr-FR"/>
        </w:rPr>
        <w:t>Piryanik c. Ukraine</w:t>
      </w:r>
      <w:r w:rsidRPr="003204E2">
        <w:rPr>
          <w:lang w:val="fr-FR"/>
        </w:rPr>
        <w:t>, n</w:t>
      </w:r>
      <w:r w:rsidRPr="003204E2">
        <w:rPr>
          <w:vertAlign w:val="superscript"/>
          <w:lang w:val="fr-FR"/>
        </w:rPr>
        <w:t>o</w:t>
      </w:r>
      <w:r w:rsidR="001B26E1" w:rsidRPr="003204E2">
        <w:rPr>
          <w:vertAlign w:val="superscript"/>
          <w:lang w:val="fr-FR"/>
        </w:rPr>
        <w:t> </w:t>
      </w:r>
      <w:r w:rsidR="001B26E1" w:rsidRPr="003204E2">
        <w:rPr>
          <w:lang w:val="fr-FR"/>
        </w:rPr>
        <w:t>75788/01,</w:t>
      </w:r>
      <w:r w:rsidRPr="003204E2">
        <w:rPr>
          <w:lang w:val="fr-FR"/>
        </w:rPr>
        <w:t xml:space="preserve"> §§ 19-20, 19 avril 2005, </w:t>
      </w:r>
      <w:r w:rsidRPr="003204E2">
        <w:rPr>
          <w:i/>
          <w:lang w:val="fr-FR"/>
        </w:rPr>
        <w:t>Gallucci c. Italie</w:t>
      </w:r>
      <w:r w:rsidRPr="003204E2">
        <w:rPr>
          <w:lang w:val="fr-FR"/>
        </w:rPr>
        <w:t>, n</w:t>
      </w:r>
      <w:r w:rsidR="00681DD3" w:rsidRPr="003204E2">
        <w:rPr>
          <w:vertAlign w:val="superscript"/>
          <w:lang w:val="fr-FR"/>
        </w:rPr>
        <w:t>o</w:t>
      </w:r>
      <w:r w:rsidRPr="003204E2">
        <w:rPr>
          <w:lang w:val="fr-FR"/>
        </w:rPr>
        <w:t xml:space="preserve"> 10756/02, §§ 55-57, 12 juin 2007 e</w:t>
      </w:r>
      <w:r w:rsidR="00EF4815" w:rsidRPr="003204E2">
        <w:rPr>
          <w:lang w:val="fr-FR"/>
        </w:rPr>
        <w:t>t</w:t>
      </w:r>
      <w:r w:rsidRPr="003204E2">
        <w:rPr>
          <w:lang w:val="fr-FR"/>
        </w:rPr>
        <w:t xml:space="preserve"> </w:t>
      </w:r>
      <w:r w:rsidRPr="003204E2">
        <w:rPr>
          <w:i/>
          <w:snapToGrid w:val="0"/>
          <w:lang w:val="fr-FR"/>
        </w:rPr>
        <w:t>M.C.</w:t>
      </w:r>
      <w:r w:rsidRPr="003204E2">
        <w:rPr>
          <w:snapToGrid w:val="0"/>
          <w:lang w:val="fr-FR"/>
        </w:rPr>
        <w:t xml:space="preserve"> </w:t>
      </w:r>
      <w:r w:rsidRPr="003204E2">
        <w:rPr>
          <w:i/>
          <w:snapToGrid w:val="0"/>
          <w:lang w:val="fr-FR"/>
        </w:rPr>
        <w:t>et autres c. Italie</w:t>
      </w:r>
      <w:r w:rsidRPr="003204E2">
        <w:rPr>
          <w:snapToGrid w:val="0"/>
          <w:lang w:val="fr-FR"/>
        </w:rPr>
        <w:t>, n</w:t>
      </w:r>
      <w:r w:rsidRPr="003204E2">
        <w:rPr>
          <w:snapToGrid w:val="0"/>
          <w:vertAlign w:val="superscript"/>
          <w:lang w:val="fr-FR"/>
        </w:rPr>
        <w:t>o</w:t>
      </w:r>
      <w:r w:rsidRPr="003204E2">
        <w:rPr>
          <w:snapToGrid w:val="0"/>
          <w:lang w:val="fr-FR"/>
        </w:rPr>
        <w:t xml:space="preserve"> 5376/11, § 54, 3 septembre 2013</w:t>
      </w:r>
      <w:r w:rsidRPr="003204E2">
        <w:rPr>
          <w:lang w:val="fr-FR"/>
        </w:rPr>
        <w:t>). La Cour estime donc qu</w:t>
      </w:r>
      <w:r w:rsidR="003204E2" w:rsidRPr="003204E2">
        <w:rPr>
          <w:lang w:val="fr-FR"/>
        </w:rPr>
        <w:t>’</w:t>
      </w:r>
      <w:r w:rsidRPr="003204E2">
        <w:rPr>
          <w:lang w:val="fr-FR"/>
        </w:rPr>
        <w:t>il n</w:t>
      </w:r>
      <w:r w:rsidR="003204E2" w:rsidRPr="003204E2">
        <w:rPr>
          <w:lang w:val="fr-FR"/>
        </w:rPr>
        <w:t>’</w:t>
      </w:r>
      <w:r w:rsidRPr="003204E2">
        <w:rPr>
          <w:lang w:val="fr-FR"/>
        </w:rPr>
        <w:t>y a pas lieu d</w:t>
      </w:r>
      <w:r w:rsidR="003204E2" w:rsidRPr="003204E2">
        <w:rPr>
          <w:lang w:val="fr-FR"/>
        </w:rPr>
        <w:t>’</w:t>
      </w:r>
      <w:r w:rsidRPr="003204E2">
        <w:rPr>
          <w:lang w:val="fr-FR"/>
        </w:rPr>
        <w:t>examiner ce grief.</w:t>
      </w:r>
    </w:p>
    <w:p w:rsidR="00E77CB3" w:rsidRPr="003204E2" w:rsidRDefault="00571DC6" w:rsidP="003204E2">
      <w:pPr>
        <w:pStyle w:val="ECHRPara"/>
        <w:rPr>
          <w:lang w:val="fr-FR"/>
        </w:rPr>
      </w:pPr>
      <w:r w:rsidRPr="003204E2">
        <w:rPr>
          <w:lang w:val="fr-FR"/>
        </w:rPr>
        <w:lastRenderedPageBreak/>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46</w:t>
      </w:r>
      <w:r w:rsidRPr="003204E2">
        <w:rPr>
          <w:lang w:val="fr-FR"/>
        </w:rPr>
        <w:fldChar w:fldCharType="end"/>
      </w:r>
      <w:r w:rsidRPr="003204E2">
        <w:rPr>
          <w:lang w:val="fr-FR"/>
        </w:rPr>
        <w:t>.  </w:t>
      </w:r>
      <w:r w:rsidR="00F74AD0" w:rsidRPr="003204E2">
        <w:rPr>
          <w:lang w:val="fr-FR"/>
        </w:rPr>
        <w:t>Quant au reste, l</w:t>
      </w:r>
      <w:r w:rsidR="00E77CB3" w:rsidRPr="003204E2">
        <w:rPr>
          <w:lang w:val="fr-FR"/>
        </w:rPr>
        <w:t xml:space="preserve">a Cour constate que </w:t>
      </w:r>
      <w:r w:rsidR="00443E37" w:rsidRPr="003204E2">
        <w:rPr>
          <w:lang w:val="fr-FR"/>
        </w:rPr>
        <w:t>la requête</w:t>
      </w:r>
      <w:r w:rsidR="00E77CB3" w:rsidRPr="003204E2">
        <w:rPr>
          <w:lang w:val="fr-FR"/>
        </w:rPr>
        <w:t xml:space="preserve"> n</w:t>
      </w:r>
      <w:r w:rsidR="003204E2" w:rsidRPr="003204E2">
        <w:rPr>
          <w:lang w:val="fr-FR"/>
        </w:rPr>
        <w:t>’</w:t>
      </w:r>
      <w:r w:rsidR="00E77CB3" w:rsidRPr="003204E2">
        <w:rPr>
          <w:lang w:val="fr-FR"/>
        </w:rPr>
        <w:t>est pas manifestement mal fondée au sens de l</w:t>
      </w:r>
      <w:r w:rsidR="003204E2" w:rsidRPr="003204E2">
        <w:rPr>
          <w:lang w:val="fr-FR"/>
        </w:rPr>
        <w:t>’</w:t>
      </w:r>
      <w:r w:rsidR="00E77CB3" w:rsidRPr="003204E2">
        <w:rPr>
          <w:lang w:val="fr-FR"/>
        </w:rPr>
        <w:t>article 35 § 3 a) de la Convention</w:t>
      </w:r>
      <w:r w:rsidR="00694A2E" w:rsidRPr="003204E2">
        <w:rPr>
          <w:lang w:val="fr-FR"/>
        </w:rPr>
        <w:t xml:space="preserve"> et qu</w:t>
      </w:r>
      <w:r w:rsidR="003204E2" w:rsidRPr="003204E2">
        <w:rPr>
          <w:lang w:val="fr-FR"/>
        </w:rPr>
        <w:t>’</w:t>
      </w:r>
      <w:r w:rsidR="00694A2E" w:rsidRPr="003204E2">
        <w:rPr>
          <w:lang w:val="fr-FR"/>
        </w:rPr>
        <w:t xml:space="preserve">elle ne se heurte par ailleurs </w:t>
      </w:r>
      <w:r w:rsidR="00E77CB3" w:rsidRPr="003204E2">
        <w:rPr>
          <w:lang w:val="fr-FR"/>
        </w:rPr>
        <w:t>à aucun autre motif d</w:t>
      </w:r>
      <w:r w:rsidR="003204E2" w:rsidRPr="003204E2">
        <w:rPr>
          <w:lang w:val="fr-FR"/>
        </w:rPr>
        <w:t>’</w:t>
      </w:r>
      <w:r w:rsidR="00E77CB3" w:rsidRPr="003204E2">
        <w:rPr>
          <w:lang w:val="fr-FR"/>
        </w:rPr>
        <w:t>irrecevabilité</w:t>
      </w:r>
      <w:r w:rsidR="00875AB3" w:rsidRPr="003204E2">
        <w:rPr>
          <w:lang w:val="fr-FR"/>
        </w:rPr>
        <w:t>. Elle</w:t>
      </w:r>
      <w:r w:rsidR="000F00EF" w:rsidRPr="003204E2">
        <w:rPr>
          <w:lang w:val="fr-FR"/>
        </w:rPr>
        <w:t xml:space="preserve"> la déclare </w:t>
      </w:r>
      <w:r w:rsidR="00875AB3" w:rsidRPr="003204E2">
        <w:rPr>
          <w:lang w:val="fr-FR"/>
        </w:rPr>
        <w:t xml:space="preserve">donc </w:t>
      </w:r>
      <w:r w:rsidR="000F00EF" w:rsidRPr="003204E2">
        <w:rPr>
          <w:lang w:val="fr-FR"/>
        </w:rPr>
        <w:t>recevable</w:t>
      </w:r>
      <w:r w:rsidR="00E77CB3" w:rsidRPr="003204E2">
        <w:rPr>
          <w:lang w:val="fr-FR"/>
        </w:rPr>
        <w:t>.</w:t>
      </w:r>
    </w:p>
    <w:p w:rsidR="00E77CB3" w:rsidRPr="003204E2" w:rsidRDefault="00E77CB3" w:rsidP="003204E2">
      <w:pPr>
        <w:pStyle w:val="ECHRHeading2"/>
        <w:rPr>
          <w:lang w:val="fr-FR"/>
        </w:rPr>
      </w:pPr>
      <w:r w:rsidRPr="003204E2">
        <w:rPr>
          <w:lang w:val="fr-FR"/>
        </w:rPr>
        <w:t>B.  Sur le fond</w:t>
      </w:r>
    </w:p>
    <w:p w:rsidR="00460B75" w:rsidRPr="003204E2" w:rsidRDefault="00460B75" w:rsidP="003204E2">
      <w:pPr>
        <w:pStyle w:val="ECHRHeading3"/>
        <w:rPr>
          <w:lang w:val="fr-FR"/>
        </w:rPr>
      </w:pPr>
      <w:r w:rsidRPr="003204E2">
        <w:rPr>
          <w:lang w:val="fr-FR"/>
        </w:rPr>
        <w:t>1.  Les arguments des parties</w:t>
      </w:r>
    </w:p>
    <w:p w:rsidR="00110031" w:rsidRPr="003204E2" w:rsidRDefault="00110031"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47</w:t>
      </w:r>
      <w:r w:rsidRPr="003204E2">
        <w:rPr>
          <w:lang w:val="fr-FR"/>
        </w:rPr>
        <w:fldChar w:fldCharType="end"/>
      </w:r>
      <w:r w:rsidRPr="003204E2">
        <w:rPr>
          <w:lang w:val="fr-FR"/>
        </w:rPr>
        <w:t>.  Les requérants soutiennent que les mesures prises à leur encontre n</w:t>
      </w:r>
      <w:r w:rsidR="003204E2" w:rsidRPr="003204E2">
        <w:rPr>
          <w:lang w:val="fr-FR"/>
        </w:rPr>
        <w:t>’</w:t>
      </w:r>
      <w:r w:rsidRPr="003204E2">
        <w:rPr>
          <w:lang w:val="fr-FR"/>
        </w:rPr>
        <w:t>étaient pas proportionnées aux objectifs indiqués par le gouvernement défendeur et que le droit d</w:t>
      </w:r>
      <w:r w:rsidR="003204E2" w:rsidRPr="003204E2">
        <w:rPr>
          <w:lang w:val="fr-FR"/>
        </w:rPr>
        <w:t>’</w:t>
      </w:r>
      <w:r w:rsidRPr="003204E2">
        <w:rPr>
          <w:lang w:val="fr-FR"/>
        </w:rPr>
        <w:t>informer devait prévaloir dans leur cas. Les requérants estiment aussi que la peine de détention qui leur a été appliquée était excessive.</w:t>
      </w:r>
    </w:p>
    <w:p w:rsidR="003204E2" w:rsidRPr="003204E2" w:rsidRDefault="00110031"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48</w:t>
      </w:r>
      <w:r w:rsidRPr="003204E2">
        <w:rPr>
          <w:lang w:val="fr-FR"/>
        </w:rPr>
        <w:fldChar w:fldCharType="end"/>
      </w:r>
      <w:r w:rsidRPr="003204E2">
        <w:rPr>
          <w:lang w:val="fr-FR"/>
        </w:rPr>
        <w:t>.  </w:t>
      </w:r>
      <w:r w:rsidR="001E272C" w:rsidRPr="003204E2">
        <w:rPr>
          <w:lang w:val="fr-FR"/>
        </w:rPr>
        <w:t>L</w:t>
      </w:r>
      <w:r w:rsidR="00D12B41" w:rsidRPr="003204E2">
        <w:rPr>
          <w:lang w:val="fr-FR"/>
        </w:rPr>
        <w:t>e Gouvernement observe que, même en admettant qu</w:t>
      </w:r>
      <w:r w:rsidR="003204E2" w:rsidRPr="003204E2">
        <w:rPr>
          <w:lang w:val="fr-FR"/>
        </w:rPr>
        <w:t>’</w:t>
      </w:r>
      <w:r w:rsidR="00D12B41" w:rsidRPr="003204E2">
        <w:rPr>
          <w:lang w:val="fr-FR"/>
        </w:rPr>
        <w:t>il y ait eu une ingérence dans le droit invoqué par les requérants, celle-ci poursuivait des objectifs légitimes consistant en la protection de la sécurité nationale et de la sûreté publique, en la défense de l</w:t>
      </w:r>
      <w:r w:rsidR="003204E2" w:rsidRPr="003204E2">
        <w:rPr>
          <w:lang w:val="fr-FR"/>
        </w:rPr>
        <w:t>’</w:t>
      </w:r>
      <w:r w:rsidR="00D12B41" w:rsidRPr="003204E2">
        <w:rPr>
          <w:lang w:val="fr-FR"/>
        </w:rPr>
        <w:t>ordre et en la prévention du crime</w:t>
      </w:r>
      <w:r w:rsidR="00CE6377" w:rsidRPr="003204E2">
        <w:rPr>
          <w:lang w:val="fr-FR"/>
        </w:rPr>
        <w:t xml:space="preserve"> et était </w:t>
      </w:r>
      <w:r w:rsidR="00D12B41" w:rsidRPr="003204E2">
        <w:rPr>
          <w:lang w:val="fr-FR"/>
        </w:rPr>
        <w:t>proportionnée à ces derniers.</w:t>
      </w:r>
    </w:p>
    <w:p w:rsidR="003204E2" w:rsidRPr="003204E2" w:rsidRDefault="000B587F" w:rsidP="003204E2">
      <w:pPr>
        <w:pStyle w:val="ECHRHeading3"/>
        <w:rPr>
          <w:lang w:val="fr-FR"/>
        </w:rPr>
      </w:pPr>
      <w:r w:rsidRPr="003204E2">
        <w:rPr>
          <w:lang w:val="fr-FR"/>
        </w:rPr>
        <w:t>2.  L</w:t>
      </w:r>
      <w:r w:rsidR="003204E2" w:rsidRPr="003204E2">
        <w:rPr>
          <w:lang w:val="fr-FR"/>
        </w:rPr>
        <w:t>’</w:t>
      </w:r>
      <w:r w:rsidRPr="003204E2">
        <w:rPr>
          <w:lang w:val="fr-FR"/>
        </w:rPr>
        <w:t>appréciation de la Cour</w:t>
      </w:r>
    </w:p>
    <w:p w:rsidR="003257B8" w:rsidRPr="003204E2" w:rsidRDefault="001B26E1" w:rsidP="003204E2">
      <w:pPr>
        <w:pStyle w:val="ECHRHeading4"/>
        <w:rPr>
          <w:lang w:val="fr-FR"/>
        </w:rPr>
      </w:pPr>
      <w:r w:rsidRPr="003204E2">
        <w:rPr>
          <w:lang w:val="fr-FR"/>
        </w:rPr>
        <w:t>a)  </w:t>
      </w:r>
      <w:r w:rsidR="009A6DF0" w:rsidRPr="003204E2">
        <w:rPr>
          <w:lang w:val="fr-FR"/>
        </w:rPr>
        <w:t>Sur l</w:t>
      </w:r>
      <w:r w:rsidR="003204E2" w:rsidRPr="003204E2">
        <w:rPr>
          <w:lang w:val="fr-FR"/>
        </w:rPr>
        <w:t>’</w:t>
      </w:r>
      <w:r w:rsidR="009A6DF0" w:rsidRPr="003204E2">
        <w:rPr>
          <w:lang w:val="fr-FR"/>
        </w:rPr>
        <w:t>e</w:t>
      </w:r>
      <w:r w:rsidR="000B587F" w:rsidRPr="003204E2">
        <w:rPr>
          <w:lang w:val="fr-FR"/>
        </w:rPr>
        <w:t>xistence d</w:t>
      </w:r>
      <w:r w:rsidR="003204E2" w:rsidRPr="003204E2">
        <w:rPr>
          <w:lang w:val="fr-FR"/>
        </w:rPr>
        <w:t>’</w:t>
      </w:r>
      <w:r w:rsidR="000B587F" w:rsidRPr="003204E2">
        <w:rPr>
          <w:lang w:val="fr-FR"/>
        </w:rPr>
        <w:t>une ingérence</w:t>
      </w:r>
      <w:r w:rsidR="009A6DF0" w:rsidRPr="003204E2">
        <w:rPr>
          <w:lang w:val="fr-FR"/>
        </w:rPr>
        <w:t xml:space="preserve"> « p</w:t>
      </w:r>
      <w:r w:rsidR="003257B8" w:rsidRPr="003204E2">
        <w:rPr>
          <w:lang w:val="fr-FR"/>
        </w:rPr>
        <w:t>révue par la loi</w:t>
      </w:r>
      <w:r w:rsidR="009A6DF0" w:rsidRPr="003204E2">
        <w:rPr>
          <w:lang w:val="fr-FR"/>
        </w:rPr>
        <w:t> »</w:t>
      </w:r>
      <w:r w:rsidR="00983889" w:rsidRPr="003204E2">
        <w:rPr>
          <w:lang w:val="fr-FR"/>
        </w:rPr>
        <w:t xml:space="preserve"> et </w:t>
      </w:r>
      <w:r w:rsidR="00BD29F3" w:rsidRPr="003204E2">
        <w:rPr>
          <w:lang w:val="fr-FR"/>
        </w:rPr>
        <w:t xml:space="preserve">sur </w:t>
      </w:r>
      <w:r w:rsidR="00C2719A" w:rsidRPr="003204E2">
        <w:rPr>
          <w:lang w:val="fr-FR"/>
        </w:rPr>
        <w:t>l</w:t>
      </w:r>
      <w:r w:rsidR="00983889" w:rsidRPr="003204E2">
        <w:rPr>
          <w:lang w:val="fr-FR"/>
        </w:rPr>
        <w:t>es but légitimes</w:t>
      </w:r>
      <w:r w:rsidR="00C2719A" w:rsidRPr="003204E2">
        <w:rPr>
          <w:lang w:val="fr-FR"/>
        </w:rPr>
        <w:t xml:space="preserve"> poursuivis</w:t>
      </w:r>
    </w:p>
    <w:p w:rsidR="003257B8" w:rsidRPr="003204E2" w:rsidRDefault="00983889"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49</w:t>
      </w:r>
      <w:r w:rsidRPr="003204E2">
        <w:rPr>
          <w:lang w:val="fr-FR"/>
        </w:rPr>
        <w:fldChar w:fldCharType="end"/>
      </w:r>
      <w:r w:rsidRPr="003204E2">
        <w:rPr>
          <w:lang w:val="fr-FR"/>
        </w:rPr>
        <w:t>.  </w:t>
      </w:r>
      <w:r w:rsidR="0064138F" w:rsidRPr="003204E2">
        <w:rPr>
          <w:lang w:val="fr-FR"/>
        </w:rPr>
        <w:t xml:space="preserve">La Cour réitère ses doutes </w:t>
      </w:r>
      <w:r w:rsidR="004B299B" w:rsidRPr="003204E2">
        <w:rPr>
          <w:lang w:val="fr-FR"/>
        </w:rPr>
        <w:t>quant à</w:t>
      </w:r>
      <w:r w:rsidR="0064138F" w:rsidRPr="003204E2">
        <w:rPr>
          <w:lang w:val="fr-FR"/>
        </w:rPr>
        <w:t xml:space="preserve"> la circonstance qu</w:t>
      </w:r>
      <w:r w:rsidR="003204E2" w:rsidRPr="003204E2">
        <w:rPr>
          <w:lang w:val="fr-FR"/>
        </w:rPr>
        <w:t>’</w:t>
      </w:r>
      <w:r w:rsidR="0064138F" w:rsidRPr="003204E2">
        <w:rPr>
          <w:lang w:val="fr-FR"/>
        </w:rPr>
        <w:t>une ingérence dans la liberté d</w:t>
      </w:r>
      <w:r w:rsidR="003204E2" w:rsidRPr="003204E2">
        <w:rPr>
          <w:lang w:val="fr-FR"/>
        </w:rPr>
        <w:t>’</w:t>
      </w:r>
      <w:r w:rsidR="0064138F" w:rsidRPr="003204E2">
        <w:rPr>
          <w:lang w:val="fr-FR"/>
        </w:rPr>
        <w:t xml:space="preserve">expression des requérants </w:t>
      </w:r>
      <w:r w:rsidR="00C2719A" w:rsidRPr="003204E2">
        <w:rPr>
          <w:lang w:val="fr-FR"/>
        </w:rPr>
        <w:t>se soit produite</w:t>
      </w:r>
      <w:r w:rsidR="0064138F" w:rsidRPr="003204E2">
        <w:rPr>
          <w:lang w:val="fr-FR"/>
        </w:rPr>
        <w:t xml:space="preserve"> en l</w:t>
      </w:r>
      <w:r w:rsidR="003204E2" w:rsidRPr="003204E2">
        <w:rPr>
          <w:lang w:val="fr-FR"/>
        </w:rPr>
        <w:t>’</w:t>
      </w:r>
      <w:r w:rsidR="0064138F" w:rsidRPr="003204E2">
        <w:rPr>
          <w:lang w:val="fr-FR"/>
        </w:rPr>
        <w:t xml:space="preserve">espèce. </w:t>
      </w:r>
      <w:r w:rsidR="00287A33" w:rsidRPr="003204E2">
        <w:rPr>
          <w:rFonts w:cstheme="minorHAnsi"/>
          <w:lang w:val="fr-FR"/>
        </w:rPr>
        <w:t>À</w:t>
      </w:r>
      <w:r w:rsidR="00287A33" w:rsidRPr="003204E2">
        <w:rPr>
          <w:lang w:val="fr-FR"/>
        </w:rPr>
        <w:t xml:space="preserve"> supposer même que l</w:t>
      </w:r>
      <w:r w:rsidR="003204E2" w:rsidRPr="003204E2">
        <w:rPr>
          <w:lang w:val="fr-FR"/>
        </w:rPr>
        <w:t>’</w:t>
      </w:r>
      <w:r w:rsidR="00287A33" w:rsidRPr="003204E2">
        <w:rPr>
          <w:lang w:val="fr-FR"/>
        </w:rPr>
        <w:t>article 10 fût applicable</w:t>
      </w:r>
      <w:r w:rsidR="0064138F" w:rsidRPr="003204E2">
        <w:rPr>
          <w:lang w:val="fr-FR"/>
        </w:rPr>
        <w:t xml:space="preserve">, elle observe que les mesures de perquisition, </w:t>
      </w:r>
      <w:r w:rsidR="00D027CC" w:rsidRPr="003204E2">
        <w:rPr>
          <w:lang w:val="fr-FR"/>
        </w:rPr>
        <w:t xml:space="preserve">de </w:t>
      </w:r>
      <w:r w:rsidR="0064138F" w:rsidRPr="003204E2">
        <w:rPr>
          <w:lang w:val="fr-FR"/>
        </w:rPr>
        <w:t>saisie et de privation de liberté appliquées à l</w:t>
      </w:r>
      <w:r w:rsidR="00C2719A" w:rsidRPr="003204E2">
        <w:rPr>
          <w:lang w:val="fr-FR"/>
        </w:rPr>
        <w:t xml:space="preserve">eur </w:t>
      </w:r>
      <w:r w:rsidR="0064138F" w:rsidRPr="003204E2">
        <w:rPr>
          <w:lang w:val="fr-FR"/>
        </w:rPr>
        <w:t xml:space="preserve">encontre étaient </w:t>
      </w:r>
      <w:r w:rsidR="003257B8" w:rsidRPr="003204E2">
        <w:rPr>
          <w:lang w:val="fr-FR"/>
        </w:rPr>
        <w:t>prévue</w:t>
      </w:r>
      <w:r w:rsidR="0064138F" w:rsidRPr="003204E2">
        <w:rPr>
          <w:lang w:val="fr-FR"/>
        </w:rPr>
        <w:t>s</w:t>
      </w:r>
      <w:r w:rsidR="003257B8" w:rsidRPr="003204E2">
        <w:rPr>
          <w:lang w:val="fr-FR"/>
        </w:rPr>
        <w:t xml:space="preserve"> par la loi</w:t>
      </w:r>
      <w:r w:rsidR="0064138F" w:rsidRPr="003204E2">
        <w:rPr>
          <w:lang w:val="fr-FR"/>
        </w:rPr>
        <w:t xml:space="preserve">, </w:t>
      </w:r>
      <w:r w:rsidR="00E647E3" w:rsidRPr="003204E2">
        <w:rPr>
          <w:lang w:val="fr-FR"/>
        </w:rPr>
        <w:t>à savoir</w:t>
      </w:r>
      <w:r w:rsidR="004B299B" w:rsidRPr="003204E2">
        <w:rPr>
          <w:lang w:val="fr-FR"/>
        </w:rPr>
        <w:t xml:space="preserve">, </w:t>
      </w:r>
      <w:r w:rsidR="003257B8" w:rsidRPr="003204E2">
        <w:rPr>
          <w:lang w:val="fr-FR"/>
        </w:rPr>
        <w:t xml:space="preserve">les articles </w:t>
      </w:r>
      <w:r w:rsidR="004B299B" w:rsidRPr="003204E2">
        <w:rPr>
          <w:lang w:val="fr-FR"/>
        </w:rPr>
        <w:t xml:space="preserve">247 du code de procédure pénale et </w:t>
      </w:r>
      <w:r w:rsidR="00D027CC" w:rsidRPr="003204E2">
        <w:rPr>
          <w:lang w:val="fr-FR"/>
        </w:rPr>
        <w:t>253</w:t>
      </w:r>
      <w:r w:rsidR="00205466" w:rsidRPr="003204E2">
        <w:rPr>
          <w:lang w:val="fr-FR"/>
        </w:rPr>
        <w:t xml:space="preserve">, </w:t>
      </w:r>
      <w:r w:rsidR="003257B8" w:rsidRPr="003204E2">
        <w:rPr>
          <w:lang w:val="fr-FR"/>
        </w:rPr>
        <w:t xml:space="preserve">617, 617 </w:t>
      </w:r>
      <w:r w:rsidR="003257B8" w:rsidRPr="003204E2">
        <w:rPr>
          <w:i/>
          <w:lang w:val="fr-FR"/>
        </w:rPr>
        <w:t>bis</w:t>
      </w:r>
      <w:r w:rsidR="003257B8" w:rsidRPr="003204E2">
        <w:rPr>
          <w:lang w:val="fr-FR"/>
        </w:rPr>
        <w:t xml:space="preserve"> et 623 </w:t>
      </w:r>
      <w:r w:rsidR="003257B8" w:rsidRPr="003204E2">
        <w:rPr>
          <w:i/>
          <w:lang w:val="fr-FR"/>
        </w:rPr>
        <w:t>bis</w:t>
      </w:r>
      <w:r w:rsidR="0064138F" w:rsidRPr="003204E2">
        <w:rPr>
          <w:lang w:val="fr-FR"/>
        </w:rPr>
        <w:t xml:space="preserve"> du code pénal</w:t>
      </w:r>
      <w:r w:rsidR="003257B8" w:rsidRPr="003204E2">
        <w:rPr>
          <w:lang w:val="fr-FR"/>
        </w:rPr>
        <w:t>.</w:t>
      </w:r>
    </w:p>
    <w:p w:rsidR="003204E2" w:rsidRPr="003204E2" w:rsidRDefault="00DC4169"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50</w:t>
      </w:r>
      <w:r w:rsidRPr="003204E2">
        <w:rPr>
          <w:lang w:val="fr-FR"/>
        </w:rPr>
        <w:fldChar w:fldCharType="end"/>
      </w:r>
      <w:r w:rsidRPr="003204E2">
        <w:rPr>
          <w:lang w:val="fr-FR"/>
        </w:rPr>
        <w:t>.  </w:t>
      </w:r>
      <w:r w:rsidR="00C2719A" w:rsidRPr="003204E2">
        <w:rPr>
          <w:lang w:val="fr-FR"/>
        </w:rPr>
        <w:t>L</w:t>
      </w:r>
      <w:r w:rsidR="00CB70EB" w:rsidRPr="003204E2">
        <w:rPr>
          <w:lang w:val="fr-FR"/>
        </w:rPr>
        <w:t>a Cour estime que l</w:t>
      </w:r>
      <w:r w:rsidR="00C2719A" w:rsidRPr="003204E2">
        <w:rPr>
          <w:lang w:val="fr-FR"/>
        </w:rPr>
        <w:t>esdites mesure</w:t>
      </w:r>
      <w:r w:rsidR="00D25714" w:rsidRPr="003204E2">
        <w:rPr>
          <w:lang w:val="fr-FR"/>
        </w:rPr>
        <w:t>s</w:t>
      </w:r>
      <w:r w:rsidRPr="003204E2">
        <w:rPr>
          <w:lang w:val="fr-FR"/>
        </w:rPr>
        <w:t xml:space="preserve"> poursuivai</w:t>
      </w:r>
      <w:r w:rsidR="0064138F" w:rsidRPr="003204E2">
        <w:rPr>
          <w:lang w:val="fr-FR"/>
        </w:rPr>
        <w:t>en</w:t>
      </w:r>
      <w:r w:rsidRPr="003204E2">
        <w:rPr>
          <w:lang w:val="fr-FR"/>
        </w:rPr>
        <w:t>t des buts légitimes au regard de l</w:t>
      </w:r>
      <w:r w:rsidR="003204E2" w:rsidRPr="003204E2">
        <w:rPr>
          <w:lang w:val="fr-FR"/>
        </w:rPr>
        <w:t>’</w:t>
      </w:r>
      <w:r w:rsidRPr="003204E2">
        <w:rPr>
          <w:lang w:val="fr-FR"/>
        </w:rPr>
        <w:t xml:space="preserve">article 10 § 2 de la Convention, notamment, </w:t>
      </w:r>
      <w:r w:rsidR="00ED4FF3" w:rsidRPr="003204E2">
        <w:rPr>
          <w:lang w:val="fr-FR"/>
        </w:rPr>
        <w:t>la protection des droits d</w:t>
      </w:r>
      <w:r w:rsidR="003204E2" w:rsidRPr="003204E2">
        <w:rPr>
          <w:lang w:val="fr-FR"/>
        </w:rPr>
        <w:t>’</w:t>
      </w:r>
      <w:r w:rsidR="00ED4FF3" w:rsidRPr="003204E2">
        <w:rPr>
          <w:lang w:val="fr-FR"/>
        </w:rPr>
        <w:t>autrui et, pour ce qui concerne plus particulièrement l</w:t>
      </w:r>
      <w:r w:rsidR="003204E2" w:rsidRPr="003204E2">
        <w:rPr>
          <w:lang w:val="fr-FR"/>
        </w:rPr>
        <w:t>’</w:t>
      </w:r>
      <w:r w:rsidR="00ED4FF3" w:rsidRPr="003204E2">
        <w:rPr>
          <w:lang w:val="fr-FR"/>
        </w:rPr>
        <w:t xml:space="preserve">interception des communications des forces de police, </w:t>
      </w:r>
      <w:r w:rsidRPr="003204E2">
        <w:rPr>
          <w:lang w:val="fr-FR"/>
        </w:rPr>
        <w:t>la protection de la sécurité nationale, la défense de l</w:t>
      </w:r>
      <w:r w:rsidR="003204E2" w:rsidRPr="003204E2">
        <w:rPr>
          <w:lang w:val="fr-FR"/>
        </w:rPr>
        <w:t>’</w:t>
      </w:r>
      <w:r w:rsidRPr="003204E2">
        <w:rPr>
          <w:lang w:val="fr-FR"/>
        </w:rPr>
        <w:t>ordre et la prévention du crime.</w:t>
      </w:r>
    </w:p>
    <w:p w:rsidR="003204E2" w:rsidRPr="003204E2" w:rsidRDefault="003169B0" w:rsidP="003204E2">
      <w:pPr>
        <w:pStyle w:val="ECHRHeading4"/>
        <w:rPr>
          <w:lang w:val="fr-FR"/>
        </w:rPr>
      </w:pPr>
      <w:r w:rsidRPr="003204E2">
        <w:rPr>
          <w:lang w:val="fr-FR"/>
        </w:rPr>
        <w:t>b</w:t>
      </w:r>
      <w:r w:rsidR="003257B8" w:rsidRPr="003204E2">
        <w:rPr>
          <w:lang w:val="fr-FR"/>
        </w:rPr>
        <w:t>)  </w:t>
      </w:r>
      <w:r w:rsidR="009A6DF0" w:rsidRPr="003204E2">
        <w:rPr>
          <w:lang w:val="fr-FR"/>
        </w:rPr>
        <w:t xml:space="preserve">Sur la nécessité des mesures prises </w:t>
      </w:r>
      <w:r w:rsidR="00A4250A" w:rsidRPr="003204E2">
        <w:rPr>
          <w:lang w:val="fr-FR"/>
        </w:rPr>
        <w:t>à l</w:t>
      </w:r>
      <w:r w:rsidR="003204E2" w:rsidRPr="003204E2">
        <w:rPr>
          <w:lang w:val="fr-FR"/>
        </w:rPr>
        <w:t>’</w:t>
      </w:r>
      <w:r w:rsidR="00A4250A" w:rsidRPr="003204E2">
        <w:rPr>
          <w:lang w:val="fr-FR"/>
        </w:rPr>
        <w:t xml:space="preserve">encontre des requérants </w:t>
      </w:r>
      <w:r w:rsidR="009A6DF0" w:rsidRPr="003204E2">
        <w:rPr>
          <w:lang w:val="fr-FR"/>
        </w:rPr>
        <w:t>dans une société démocratique</w:t>
      </w:r>
    </w:p>
    <w:p w:rsidR="003257B8" w:rsidRPr="003204E2" w:rsidRDefault="001B26E1" w:rsidP="003204E2">
      <w:pPr>
        <w:pStyle w:val="ECHRHeading5"/>
        <w:rPr>
          <w:lang w:val="fr-FR"/>
        </w:rPr>
      </w:pPr>
      <w:r w:rsidRPr="003204E2">
        <w:rPr>
          <w:lang w:val="fr-FR"/>
        </w:rPr>
        <w:t>i.  </w:t>
      </w:r>
      <w:r w:rsidR="003257B8" w:rsidRPr="003204E2">
        <w:rPr>
          <w:lang w:val="fr-FR"/>
        </w:rPr>
        <w:t>Principes généraux</w:t>
      </w:r>
    </w:p>
    <w:p w:rsidR="00DC4169" w:rsidRPr="003204E2" w:rsidRDefault="00DC4169"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51</w:t>
      </w:r>
      <w:r w:rsidRPr="003204E2">
        <w:rPr>
          <w:lang w:val="fr-FR"/>
        </w:rPr>
        <w:fldChar w:fldCharType="end"/>
      </w:r>
      <w:r w:rsidRPr="003204E2">
        <w:rPr>
          <w:lang w:val="fr-FR"/>
        </w:rPr>
        <w:t xml:space="preserve">.  Les principes généraux </w:t>
      </w:r>
      <w:r w:rsidR="003169B0" w:rsidRPr="003204E2">
        <w:rPr>
          <w:lang w:val="fr-FR"/>
        </w:rPr>
        <w:t>permettant d</w:t>
      </w:r>
      <w:r w:rsidR="003204E2" w:rsidRPr="003204E2">
        <w:rPr>
          <w:lang w:val="fr-FR"/>
        </w:rPr>
        <w:t>’</w:t>
      </w:r>
      <w:r w:rsidR="003169B0" w:rsidRPr="003204E2">
        <w:rPr>
          <w:lang w:val="fr-FR"/>
        </w:rPr>
        <w:t>apprécier la nécessité d</w:t>
      </w:r>
      <w:r w:rsidR="003204E2" w:rsidRPr="003204E2">
        <w:rPr>
          <w:lang w:val="fr-FR"/>
        </w:rPr>
        <w:t>’</w:t>
      </w:r>
      <w:r w:rsidR="003169B0" w:rsidRPr="003204E2">
        <w:rPr>
          <w:lang w:val="fr-FR"/>
        </w:rPr>
        <w:t>une ingérence donnée dans l</w:t>
      </w:r>
      <w:r w:rsidR="003204E2" w:rsidRPr="003204E2">
        <w:rPr>
          <w:lang w:val="fr-FR"/>
        </w:rPr>
        <w:t>’</w:t>
      </w:r>
      <w:r w:rsidR="003169B0" w:rsidRPr="003204E2">
        <w:rPr>
          <w:lang w:val="fr-FR"/>
        </w:rPr>
        <w:t>exercice de la liberté d</w:t>
      </w:r>
      <w:r w:rsidR="003204E2" w:rsidRPr="003204E2">
        <w:rPr>
          <w:lang w:val="fr-FR"/>
        </w:rPr>
        <w:t>’</w:t>
      </w:r>
      <w:r w:rsidR="003169B0" w:rsidRPr="003204E2">
        <w:rPr>
          <w:lang w:val="fr-FR"/>
        </w:rPr>
        <w:t>expression ont été résumés dans l</w:t>
      </w:r>
      <w:r w:rsidR="003204E2" w:rsidRPr="003204E2">
        <w:rPr>
          <w:lang w:val="fr-FR"/>
        </w:rPr>
        <w:t>’</w:t>
      </w:r>
      <w:r w:rsidRPr="003204E2">
        <w:rPr>
          <w:lang w:val="fr-FR"/>
        </w:rPr>
        <w:t xml:space="preserve">arrêt </w:t>
      </w:r>
      <w:r w:rsidR="006540BE" w:rsidRPr="003204E2">
        <w:rPr>
          <w:i/>
          <w:lang w:val="fr-FR"/>
        </w:rPr>
        <w:t>Pentikäinen c. Finlande</w:t>
      </w:r>
      <w:r w:rsidR="005574B5" w:rsidRPr="003204E2">
        <w:rPr>
          <w:lang w:val="fr-FR"/>
        </w:rPr>
        <w:t xml:space="preserve"> (</w:t>
      </w:r>
      <w:r w:rsidR="006540BE" w:rsidRPr="003204E2">
        <w:rPr>
          <w:lang w:val="fr-FR"/>
        </w:rPr>
        <w:t>précité,</w:t>
      </w:r>
      <w:r w:rsidR="006540BE" w:rsidRPr="003204E2">
        <w:rPr>
          <w:i/>
          <w:lang w:val="fr-FR"/>
        </w:rPr>
        <w:t xml:space="preserve"> </w:t>
      </w:r>
      <w:r w:rsidRPr="003204E2">
        <w:rPr>
          <w:lang w:val="fr-FR"/>
        </w:rPr>
        <w:t>§§ 87-91).</w:t>
      </w:r>
    </w:p>
    <w:p w:rsidR="00DC4169" w:rsidRPr="003204E2" w:rsidRDefault="00DC4169"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52</w:t>
      </w:r>
      <w:r w:rsidRPr="003204E2">
        <w:rPr>
          <w:lang w:val="fr-FR"/>
        </w:rPr>
        <w:fldChar w:fldCharType="end"/>
      </w:r>
      <w:r w:rsidRPr="003204E2">
        <w:rPr>
          <w:lang w:val="fr-FR"/>
        </w:rPr>
        <w:t>.  Dans ce même arrêt, la Cour a rappelé que la protection que l</w:t>
      </w:r>
      <w:r w:rsidR="003204E2" w:rsidRPr="003204E2">
        <w:rPr>
          <w:lang w:val="fr-FR"/>
        </w:rPr>
        <w:t>’</w:t>
      </w:r>
      <w:r w:rsidRPr="003204E2">
        <w:rPr>
          <w:lang w:val="fr-FR"/>
        </w:rPr>
        <w:t>article 10 offre aux journalistes est subordonnée à la condition qu</w:t>
      </w:r>
      <w:r w:rsidR="003204E2" w:rsidRPr="003204E2">
        <w:rPr>
          <w:lang w:val="fr-FR"/>
        </w:rPr>
        <w:t>’</w:t>
      </w:r>
      <w:r w:rsidRPr="003204E2">
        <w:rPr>
          <w:lang w:val="fr-FR"/>
        </w:rPr>
        <w:t xml:space="preserve">ils agissent de bonne foi de manière à fournir des informations exactes et dignes de crédit dans le </w:t>
      </w:r>
      <w:r w:rsidRPr="003204E2">
        <w:rPr>
          <w:lang w:val="fr-FR"/>
        </w:rPr>
        <w:lastRenderedPageBreak/>
        <w:t>respect des principes d</w:t>
      </w:r>
      <w:r w:rsidR="003204E2" w:rsidRPr="003204E2">
        <w:rPr>
          <w:lang w:val="fr-FR"/>
        </w:rPr>
        <w:t>’</w:t>
      </w:r>
      <w:r w:rsidRPr="003204E2">
        <w:rPr>
          <w:lang w:val="fr-FR"/>
        </w:rPr>
        <w:t xml:space="preserve">un journalisme responsable (voir, </w:t>
      </w:r>
      <w:r w:rsidRPr="003204E2">
        <w:rPr>
          <w:i/>
          <w:lang w:val="fr-FR"/>
        </w:rPr>
        <w:t>mutatis mutandis</w:t>
      </w:r>
      <w:r w:rsidRPr="003204E2">
        <w:rPr>
          <w:lang w:val="fr-FR"/>
        </w:rPr>
        <w:t xml:space="preserve">, </w:t>
      </w:r>
      <w:r w:rsidRPr="003204E2">
        <w:rPr>
          <w:i/>
          <w:lang w:val="fr-FR"/>
        </w:rPr>
        <w:t>Bladet Tromsø et Stensaas c. Norvège</w:t>
      </w:r>
      <w:r w:rsidRPr="003204E2">
        <w:rPr>
          <w:lang w:val="fr-FR"/>
        </w:rPr>
        <w:t xml:space="preserve"> [GC], n</w:t>
      </w:r>
      <w:r w:rsidRPr="003204E2">
        <w:rPr>
          <w:vertAlign w:val="superscript"/>
          <w:lang w:val="fr-FR"/>
        </w:rPr>
        <w:t>o</w:t>
      </w:r>
      <w:r w:rsidRPr="003204E2">
        <w:rPr>
          <w:lang w:val="fr-FR"/>
        </w:rPr>
        <w:t xml:space="preserve"> 21980/93, § 65, CEDH 1999-III, </w:t>
      </w:r>
      <w:r w:rsidRPr="003204E2">
        <w:rPr>
          <w:i/>
          <w:lang w:val="fr-FR"/>
        </w:rPr>
        <w:t>Fressoz et Roire c. France</w:t>
      </w:r>
      <w:r w:rsidRPr="003204E2">
        <w:rPr>
          <w:lang w:val="fr-FR"/>
        </w:rPr>
        <w:t xml:space="preserve"> [GC], n</w:t>
      </w:r>
      <w:r w:rsidRPr="003204E2">
        <w:rPr>
          <w:vertAlign w:val="superscript"/>
          <w:lang w:val="fr-FR"/>
        </w:rPr>
        <w:t>o</w:t>
      </w:r>
      <w:r w:rsidRPr="003204E2">
        <w:rPr>
          <w:lang w:val="fr-FR"/>
        </w:rPr>
        <w:t xml:space="preserve"> 29183/95, § 54, CEDH 1999</w:t>
      </w:r>
      <w:r w:rsidRPr="003204E2">
        <w:rPr>
          <w:lang w:val="fr-FR"/>
        </w:rPr>
        <w:noBreakHyphen/>
        <w:t xml:space="preserve">I, </w:t>
      </w:r>
      <w:r w:rsidRPr="003204E2">
        <w:rPr>
          <w:i/>
          <w:lang w:val="fr-FR"/>
        </w:rPr>
        <w:t>Kasabova c. Bulgarie</w:t>
      </w:r>
      <w:r w:rsidRPr="003204E2">
        <w:rPr>
          <w:lang w:val="fr-FR"/>
        </w:rPr>
        <w:t>, n</w:t>
      </w:r>
      <w:r w:rsidRPr="003204E2">
        <w:rPr>
          <w:vertAlign w:val="superscript"/>
          <w:lang w:val="fr-FR"/>
        </w:rPr>
        <w:t>o</w:t>
      </w:r>
      <w:r w:rsidRPr="003204E2">
        <w:rPr>
          <w:lang w:val="fr-FR"/>
        </w:rPr>
        <w:t xml:space="preserve"> 22385/03, §§ 61 et 63-68, 19 avril 2011, et </w:t>
      </w:r>
      <w:r w:rsidRPr="003204E2">
        <w:rPr>
          <w:i/>
          <w:lang w:val="fr-FR"/>
        </w:rPr>
        <w:t>Times Newspapers Ltd c. Royaume-Uni</w:t>
      </w:r>
      <w:r w:rsidRPr="003204E2">
        <w:rPr>
          <w:lang w:val="fr-FR"/>
        </w:rPr>
        <w:t xml:space="preserve"> (n</w:t>
      </w:r>
      <w:r w:rsidRPr="003204E2">
        <w:rPr>
          <w:vertAlign w:val="superscript"/>
          <w:lang w:val="fr-FR"/>
        </w:rPr>
        <w:t>os</w:t>
      </w:r>
      <w:r w:rsidRPr="003204E2">
        <w:rPr>
          <w:lang w:val="fr-FR"/>
        </w:rPr>
        <w:t xml:space="preserve"> 1 et 2), n</w:t>
      </w:r>
      <w:r w:rsidRPr="003204E2">
        <w:rPr>
          <w:vertAlign w:val="superscript"/>
          <w:lang w:val="fr-FR"/>
        </w:rPr>
        <w:t>os</w:t>
      </w:r>
      <w:r w:rsidRPr="003204E2">
        <w:rPr>
          <w:lang w:val="fr-FR"/>
        </w:rPr>
        <w:t xml:space="preserve"> 3002/03 et 23676/03, § 42, CEDH 2009).</w:t>
      </w:r>
    </w:p>
    <w:p w:rsidR="003204E2" w:rsidRPr="003204E2" w:rsidRDefault="00DC4169"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53</w:t>
      </w:r>
      <w:r w:rsidRPr="003204E2">
        <w:rPr>
          <w:lang w:val="fr-FR"/>
        </w:rPr>
        <w:fldChar w:fldCharType="end"/>
      </w:r>
      <w:r w:rsidRPr="003204E2">
        <w:rPr>
          <w:lang w:val="fr-FR"/>
        </w:rPr>
        <w:t>.  En outre, le journalisme responsable est une notion qui ne couvre pas uniquement le contenu des informations qui sont recueillies et/ou diffusées par des moyens journalistiques. Elle englobe aussi, entre autres, la licéité du comportement des journalistes, du point de vue notamment de leurs rapports publics avec les autorités dans l</w:t>
      </w:r>
      <w:r w:rsidR="003204E2" w:rsidRPr="003204E2">
        <w:rPr>
          <w:lang w:val="fr-FR"/>
        </w:rPr>
        <w:t>’</w:t>
      </w:r>
      <w:r w:rsidRPr="003204E2">
        <w:rPr>
          <w:lang w:val="fr-FR"/>
        </w:rPr>
        <w:t>exercice de leurs fonctions journalistiques (</w:t>
      </w:r>
      <w:r w:rsidRPr="003204E2">
        <w:rPr>
          <w:i/>
          <w:lang w:val="fr-FR"/>
        </w:rPr>
        <w:t>Pentikäinen</w:t>
      </w:r>
      <w:r w:rsidRPr="003204E2">
        <w:rPr>
          <w:lang w:val="fr-FR"/>
        </w:rPr>
        <w:t>, précité, § 90).</w:t>
      </w:r>
    </w:p>
    <w:p w:rsidR="00BC5EB4" w:rsidRPr="003204E2" w:rsidRDefault="00BC5EB4"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54</w:t>
      </w:r>
      <w:r w:rsidRPr="003204E2">
        <w:rPr>
          <w:lang w:val="fr-FR"/>
        </w:rPr>
        <w:fldChar w:fldCharType="end"/>
      </w:r>
      <w:r w:rsidRPr="003204E2">
        <w:rPr>
          <w:lang w:val="fr-FR"/>
        </w:rPr>
        <w:t>.  Il y a lieu de rappeler aussi que « malgré le rôle essentiel qui revient aux médias dans une société démocratique, les journalistes ne sauraient en principe être déliés de leur devoir de respecter les lois pénales de droit commun au motif que l</w:t>
      </w:r>
      <w:r w:rsidR="003204E2" w:rsidRPr="003204E2">
        <w:rPr>
          <w:lang w:val="fr-FR"/>
        </w:rPr>
        <w:t>’</w:t>
      </w:r>
      <w:r w:rsidRPr="003204E2">
        <w:rPr>
          <w:lang w:val="fr-FR"/>
        </w:rPr>
        <w:t xml:space="preserve">article 10 leur offrirait une protection inattaquable (voir, entre autres et mutatis mutandis, </w:t>
      </w:r>
      <w:r w:rsidRPr="003204E2">
        <w:rPr>
          <w:i/>
          <w:lang w:val="fr-FR"/>
        </w:rPr>
        <w:t>Stoll c. Suisse</w:t>
      </w:r>
      <w:r w:rsidRPr="003204E2">
        <w:rPr>
          <w:lang w:val="fr-FR"/>
        </w:rPr>
        <w:t xml:space="preserve"> [GC], précité, § 102, </w:t>
      </w:r>
      <w:r w:rsidRPr="003204E2">
        <w:rPr>
          <w:i/>
          <w:lang w:val="fr-FR"/>
        </w:rPr>
        <w:t>Bladet Tromsø et Stensaas c. Norvège</w:t>
      </w:r>
      <w:r w:rsidRPr="003204E2">
        <w:rPr>
          <w:lang w:val="fr-FR"/>
        </w:rPr>
        <w:t xml:space="preserve"> [GC], précité, § 65, et </w:t>
      </w:r>
      <w:r w:rsidRPr="003204E2">
        <w:rPr>
          <w:i/>
          <w:lang w:val="fr-FR"/>
        </w:rPr>
        <w:t>Monnat</w:t>
      </w:r>
      <w:r w:rsidR="004708AC" w:rsidRPr="003204E2">
        <w:rPr>
          <w:i/>
          <w:lang w:val="fr-FR"/>
        </w:rPr>
        <w:t> </w:t>
      </w:r>
      <w:r w:rsidRPr="003204E2">
        <w:rPr>
          <w:i/>
          <w:lang w:val="fr-FR"/>
        </w:rPr>
        <w:t>c.</w:t>
      </w:r>
      <w:r w:rsidR="00DE7AC3" w:rsidRPr="003204E2">
        <w:rPr>
          <w:i/>
          <w:lang w:val="fr-FR"/>
        </w:rPr>
        <w:t> </w:t>
      </w:r>
      <w:r w:rsidRPr="003204E2">
        <w:rPr>
          <w:i/>
          <w:lang w:val="fr-FR"/>
        </w:rPr>
        <w:t>Suisse</w:t>
      </w:r>
      <w:r w:rsidRPr="003204E2">
        <w:rPr>
          <w:lang w:val="fr-FR"/>
        </w:rPr>
        <w:t>, n</w:t>
      </w:r>
      <w:r w:rsidRPr="003204E2">
        <w:rPr>
          <w:vertAlign w:val="superscript"/>
          <w:lang w:val="fr-FR"/>
        </w:rPr>
        <w:t>o</w:t>
      </w:r>
      <w:r w:rsidRPr="003204E2">
        <w:rPr>
          <w:lang w:val="fr-FR"/>
        </w:rPr>
        <w:t xml:space="preserve"> </w:t>
      </w:r>
      <w:hyperlink r:id="rId15" w:anchor="%7B%22appno%22:%5B%2273604/01%22%5D%7D" w:tgtFrame="_blank" w:history="1">
        <w:r w:rsidRPr="003204E2">
          <w:rPr>
            <w:lang w:val="fr-FR"/>
          </w:rPr>
          <w:t>73604/01</w:t>
        </w:r>
      </w:hyperlink>
      <w:r w:rsidR="00EF4815" w:rsidRPr="003204E2">
        <w:rPr>
          <w:lang w:val="fr-FR"/>
        </w:rPr>
        <w:t>, § </w:t>
      </w:r>
      <w:r w:rsidRPr="003204E2">
        <w:rPr>
          <w:lang w:val="fr-FR"/>
        </w:rPr>
        <w:t>66, CEDH 2006-X). En d</w:t>
      </w:r>
      <w:r w:rsidR="003204E2" w:rsidRPr="003204E2">
        <w:rPr>
          <w:lang w:val="fr-FR"/>
        </w:rPr>
        <w:t>’</w:t>
      </w:r>
      <w:r w:rsidRPr="003204E2">
        <w:rPr>
          <w:lang w:val="fr-FR"/>
        </w:rPr>
        <w:t>autres termes, un journaliste auteur d</w:t>
      </w:r>
      <w:r w:rsidR="003204E2" w:rsidRPr="003204E2">
        <w:rPr>
          <w:lang w:val="fr-FR"/>
        </w:rPr>
        <w:t>’</w:t>
      </w:r>
      <w:r w:rsidRPr="003204E2">
        <w:rPr>
          <w:lang w:val="fr-FR"/>
        </w:rPr>
        <w:t>une infraction ne peut se prévaloir d</w:t>
      </w:r>
      <w:r w:rsidR="003204E2" w:rsidRPr="003204E2">
        <w:rPr>
          <w:lang w:val="fr-FR"/>
        </w:rPr>
        <w:t>’</w:t>
      </w:r>
      <w:r w:rsidRPr="003204E2">
        <w:rPr>
          <w:lang w:val="fr-FR"/>
        </w:rPr>
        <w:t>une immunité pénale exclusive – dont ne bénéficient pas les autres personnes qui exercent leur droit à la liberté d</w:t>
      </w:r>
      <w:r w:rsidR="003204E2" w:rsidRPr="003204E2">
        <w:rPr>
          <w:lang w:val="fr-FR"/>
        </w:rPr>
        <w:t>’</w:t>
      </w:r>
      <w:r w:rsidRPr="003204E2">
        <w:rPr>
          <w:lang w:val="fr-FR"/>
        </w:rPr>
        <w:t>expression – du seul fait que l</w:t>
      </w:r>
      <w:r w:rsidR="003204E2" w:rsidRPr="003204E2">
        <w:rPr>
          <w:lang w:val="fr-FR"/>
        </w:rPr>
        <w:t>’</w:t>
      </w:r>
      <w:r w:rsidRPr="003204E2">
        <w:rPr>
          <w:lang w:val="fr-FR"/>
        </w:rPr>
        <w:t>infraction en question a été commise dans l</w:t>
      </w:r>
      <w:r w:rsidR="003204E2" w:rsidRPr="003204E2">
        <w:rPr>
          <w:lang w:val="fr-FR"/>
        </w:rPr>
        <w:t>’</w:t>
      </w:r>
      <w:r w:rsidRPr="003204E2">
        <w:rPr>
          <w:lang w:val="fr-FR"/>
        </w:rPr>
        <w:t>exercice de ses fonctions journalistiques</w:t>
      </w:r>
      <w:r w:rsidR="00755525" w:rsidRPr="003204E2">
        <w:rPr>
          <w:lang w:val="fr-FR"/>
        </w:rPr>
        <w:t> » (</w:t>
      </w:r>
      <w:r w:rsidR="00755525" w:rsidRPr="003204E2">
        <w:rPr>
          <w:i/>
          <w:lang w:val="fr-FR"/>
        </w:rPr>
        <w:t>Pentikäinen</w:t>
      </w:r>
      <w:r w:rsidR="00755525" w:rsidRPr="003204E2">
        <w:rPr>
          <w:lang w:val="fr-FR"/>
        </w:rPr>
        <w:t>, précité, § 91).</w:t>
      </w:r>
    </w:p>
    <w:p w:rsidR="003257B8" w:rsidRPr="003204E2" w:rsidRDefault="00853C43"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55</w:t>
      </w:r>
      <w:r w:rsidRPr="003204E2">
        <w:rPr>
          <w:lang w:val="fr-FR"/>
        </w:rPr>
        <w:fldChar w:fldCharType="end"/>
      </w:r>
      <w:r w:rsidRPr="003204E2">
        <w:rPr>
          <w:lang w:val="fr-FR"/>
        </w:rPr>
        <w:t>.  </w:t>
      </w:r>
      <w:r w:rsidR="00A25D12" w:rsidRPr="003204E2">
        <w:rPr>
          <w:lang w:val="fr-FR"/>
        </w:rPr>
        <w:t>De plus</w:t>
      </w:r>
      <w:r w:rsidR="00DC4169" w:rsidRPr="003204E2">
        <w:rPr>
          <w:lang w:val="fr-FR"/>
        </w:rPr>
        <w:t>, toute personne, fût-elle journaliste, qui exerce sa liberté d</w:t>
      </w:r>
      <w:r w:rsidR="003204E2" w:rsidRPr="003204E2">
        <w:rPr>
          <w:lang w:val="fr-FR"/>
        </w:rPr>
        <w:t>’</w:t>
      </w:r>
      <w:r w:rsidR="00DC4169" w:rsidRPr="003204E2">
        <w:rPr>
          <w:lang w:val="fr-FR"/>
        </w:rPr>
        <w:t>expression, assume « des devoirs et des responsabilités » dont l</w:t>
      </w:r>
      <w:r w:rsidR="003204E2" w:rsidRPr="003204E2">
        <w:rPr>
          <w:lang w:val="fr-FR"/>
        </w:rPr>
        <w:t>’</w:t>
      </w:r>
      <w:r w:rsidR="00DC4169" w:rsidRPr="003204E2">
        <w:rPr>
          <w:lang w:val="fr-FR"/>
        </w:rPr>
        <w:t xml:space="preserve">étendue dépend de sa situation et du procédé technique utilisé (voir, par exemple, </w:t>
      </w:r>
      <w:r w:rsidR="00DC4169" w:rsidRPr="003204E2">
        <w:rPr>
          <w:i/>
          <w:lang w:val="fr-FR"/>
        </w:rPr>
        <w:t>Handyside c. Royaume-Uni</w:t>
      </w:r>
      <w:r w:rsidR="00DC4169" w:rsidRPr="003204E2">
        <w:rPr>
          <w:lang w:val="fr-FR"/>
        </w:rPr>
        <w:t xml:space="preserve">, 7 décembre 1976, § 49 </w:t>
      </w:r>
      <w:r w:rsidR="00DC4169" w:rsidRPr="003204E2">
        <w:rPr>
          <w:i/>
          <w:lang w:val="fr-FR"/>
        </w:rPr>
        <w:t>in fine</w:t>
      </w:r>
      <w:r w:rsidR="00DC4169" w:rsidRPr="003204E2">
        <w:rPr>
          <w:lang w:val="fr-FR"/>
        </w:rPr>
        <w:t>, série A n</w:t>
      </w:r>
      <w:r w:rsidR="00DC4169" w:rsidRPr="003204E2">
        <w:rPr>
          <w:vertAlign w:val="superscript"/>
          <w:lang w:val="fr-FR"/>
        </w:rPr>
        <w:t>o</w:t>
      </w:r>
      <w:r w:rsidR="00DC4169" w:rsidRPr="003204E2">
        <w:rPr>
          <w:lang w:val="fr-FR"/>
        </w:rPr>
        <w:t xml:space="preserve"> 24). Ainsi, malgré le rôle essentiel qui revient aux médias dans une société démocratique, les journalistes ne sauraient en principe être déliés, par la protection que leur offre l</w:t>
      </w:r>
      <w:r w:rsidR="003204E2" w:rsidRPr="003204E2">
        <w:rPr>
          <w:lang w:val="fr-FR"/>
        </w:rPr>
        <w:t>’</w:t>
      </w:r>
      <w:r w:rsidR="00DC4169" w:rsidRPr="003204E2">
        <w:rPr>
          <w:lang w:val="fr-FR"/>
        </w:rPr>
        <w:t>article 10, de leur devoir de respecter les lois pénales de droit commun. Le paragraphe 2 de l</w:t>
      </w:r>
      <w:r w:rsidR="003204E2" w:rsidRPr="003204E2">
        <w:rPr>
          <w:lang w:val="fr-FR"/>
        </w:rPr>
        <w:t>’</w:t>
      </w:r>
      <w:r w:rsidR="00DC4169" w:rsidRPr="003204E2">
        <w:rPr>
          <w:lang w:val="fr-FR"/>
        </w:rPr>
        <w:t>article 10 pose d</w:t>
      </w:r>
      <w:r w:rsidR="003204E2" w:rsidRPr="003204E2">
        <w:rPr>
          <w:lang w:val="fr-FR"/>
        </w:rPr>
        <w:t>’</w:t>
      </w:r>
      <w:r w:rsidR="00DC4169" w:rsidRPr="003204E2">
        <w:rPr>
          <w:lang w:val="fr-FR"/>
        </w:rPr>
        <w:t>ailleurs les limites de l</w:t>
      </w:r>
      <w:r w:rsidR="003204E2" w:rsidRPr="003204E2">
        <w:rPr>
          <w:lang w:val="fr-FR"/>
        </w:rPr>
        <w:t>’</w:t>
      </w:r>
      <w:r w:rsidR="00DC4169" w:rsidRPr="003204E2">
        <w:rPr>
          <w:lang w:val="fr-FR"/>
        </w:rPr>
        <w:t>exercice de la liberté d</w:t>
      </w:r>
      <w:r w:rsidR="003204E2" w:rsidRPr="003204E2">
        <w:rPr>
          <w:lang w:val="fr-FR"/>
        </w:rPr>
        <w:t>’</w:t>
      </w:r>
      <w:r w:rsidR="00DC4169" w:rsidRPr="003204E2">
        <w:rPr>
          <w:lang w:val="fr-FR"/>
        </w:rPr>
        <w:t>expression, qui restent valables même quand il s</w:t>
      </w:r>
      <w:r w:rsidR="003204E2" w:rsidRPr="003204E2">
        <w:rPr>
          <w:lang w:val="fr-FR"/>
        </w:rPr>
        <w:t>’</w:t>
      </w:r>
      <w:r w:rsidR="00DC4169" w:rsidRPr="003204E2">
        <w:rPr>
          <w:lang w:val="fr-FR"/>
        </w:rPr>
        <w:t>agit de rendre compte dans la presse de questions sérieuses d</w:t>
      </w:r>
      <w:r w:rsidR="003204E2" w:rsidRPr="003204E2">
        <w:rPr>
          <w:lang w:val="fr-FR"/>
        </w:rPr>
        <w:t>’</w:t>
      </w:r>
      <w:r w:rsidR="00DC4169" w:rsidRPr="003204E2">
        <w:rPr>
          <w:lang w:val="fr-FR"/>
        </w:rPr>
        <w:t>intérêt général (</w:t>
      </w:r>
      <w:r w:rsidR="00DC4169" w:rsidRPr="003204E2">
        <w:rPr>
          <w:i/>
          <w:lang w:val="fr-FR"/>
        </w:rPr>
        <w:t>Stoll</w:t>
      </w:r>
      <w:r w:rsidR="00DC4169" w:rsidRPr="003204E2">
        <w:rPr>
          <w:lang w:val="fr-FR"/>
        </w:rPr>
        <w:t>, précité, § 102</w:t>
      </w:r>
      <w:r w:rsidR="00DF4EDE" w:rsidRPr="003204E2">
        <w:rPr>
          <w:lang w:val="fr-FR"/>
        </w:rPr>
        <w:t xml:space="preserve"> et</w:t>
      </w:r>
      <w:r w:rsidR="00E272FA" w:rsidRPr="003204E2">
        <w:rPr>
          <w:lang w:val="fr-FR"/>
        </w:rPr>
        <w:t xml:space="preserve"> </w:t>
      </w:r>
      <w:r w:rsidR="00E272FA" w:rsidRPr="003204E2">
        <w:rPr>
          <w:i/>
          <w:lang w:val="fr-FR"/>
        </w:rPr>
        <w:t>Pentikäinen</w:t>
      </w:r>
      <w:r w:rsidR="00E272FA" w:rsidRPr="003204E2">
        <w:rPr>
          <w:lang w:val="fr-FR"/>
        </w:rPr>
        <w:t>,</w:t>
      </w:r>
      <w:r w:rsidR="00E272FA" w:rsidRPr="003204E2">
        <w:rPr>
          <w:i/>
          <w:lang w:val="fr-FR"/>
        </w:rPr>
        <w:t xml:space="preserve"> </w:t>
      </w:r>
      <w:r w:rsidR="00E272FA" w:rsidRPr="003204E2">
        <w:rPr>
          <w:lang w:val="fr-FR"/>
        </w:rPr>
        <w:t>précité, § 110)</w:t>
      </w:r>
      <w:r w:rsidR="00DC4169" w:rsidRPr="003204E2">
        <w:rPr>
          <w:lang w:val="fr-FR"/>
        </w:rPr>
        <w:t>.</w:t>
      </w:r>
    </w:p>
    <w:p w:rsidR="009E7D09" w:rsidRPr="003204E2" w:rsidRDefault="009E7D09"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56</w:t>
      </w:r>
      <w:r w:rsidRPr="003204E2">
        <w:rPr>
          <w:lang w:val="fr-FR"/>
        </w:rPr>
        <w:fldChar w:fldCharType="end"/>
      </w:r>
      <w:r w:rsidRPr="003204E2">
        <w:rPr>
          <w:lang w:val="fr-FR"/>
        </w:rPr>
        <w:t>.  Enfin, la Cour rappelle que, dans l</w:t>
      </w:r>
      <w:r w:rsidR="003204E2" w:rsidRPr="003204E2">
        <w:rPr>
          <w:lang w:val="fr-FR"/>
        </w:rPr>
        <w:t>’</w:t>
      </w:r>
      <w:r w:rsidRPr="003204E2">
        <w:rPr>
          <w:lang w:val="fr-FR"/>
        </w:rPr>
        <w:t>analyse de la nécessité d</w:t>
      </w:r>
      <w:r w:rsidR="003204E2" w:rsidRPr="003204E2">
        <w:rPr>
          <w:lang w:val="fr-FR"/>
        </w:rPr>
        <w:t>’</w:t>
      </w:r>
      <w:r w:rsidRPr="003204E2">
        <w:rPr>
          <w:lang w:val="fr-FR"/>
        </w:rPr>
        <w:t>une ingérence donnée dans l</w:t>
      </w:r>
      <w:r w:rsidR="003204E2" w:rsidRPr="003204E2">
        <w:rPr>
          <w:lang w:val="fr-FR"/>
        </w:rPr>
        <w:t>’</w:t>
      </w:r>
      <w:r w:rsidRPr="003204E2">
        <w:rPr>
          <w:lang w:val="fr-FR"/>
        </w:rPr>
        <w:t>exercice de la liberté d</w:t>
      </w:r>
      <w:r w:rsidR="003204E2" w:rsidRPr="003204E2">
        <w:rPr>
          <w:lang w:val="fr-FR"/>
        </w:rPr>
        <w:t>’</w:t>
      </w:r>
      <w:r w:rsidRPr="003204E2">
        <w:rPr>
          <w:lang w:val="fr-FR"/>
        </w:rPr>
        <w:t xml:space="preserve">expression, la Cour tient compte de </w:t>
      </w:r>
      <w:r w:rsidR="0012397A" w:rsidRPr="003204E2">
        <w:rPr>
          <w:lang w:val="fr-FR"/>
        </w:rPr>
        <w:t>plusieurs</w:t>
      </w:r>
      <w:r w:rsidRPr="003204E2">
        <w:rPr>
          <w:lang w:val="fr-FR"/>
        </w:rPr>
        <w:t xml:space="preserve"> critères, </w:t>
      </w:r>
      <w:r w:rsidR="0012397A" w:rsidRPr="003204E2">
        <w:rPr>
          <w:lang w:val="fr-FR"/>
        </w:rPr>
        <w:t xml:space="preserve">à savoir, </w:t>
      </w:r>
      <w:r w:rsidRPr="003204E2">
        <w:rPr>
          <w:lang w:val="fr-FR"/>
        </w:rPr>
        <w:t>l</w:t>
      </w:r>
      <w:r w:rsidR="003204E2" w:rsidRPr="003204E2">
        <w:rPr>
          <w:lang w:val="fr-FR"/>
        </w:rPr>
        <w:t>’</w:t>
      </w:r>
      <w:r w:rsidRPr="003204E2">
        <w:rPr>
          <w:lang w:val="fr-FR"/>
        </w:rPr>
        <w:t>évaluation des intérêts en présence, le comportement des requérants, le contrôle exercé par les juridictions internes et la proportionnalité</w:t>
      </w:r>
      <w:r w:rsidR="0012397A" w:rsidRPr="003204E2">
        <w:rPr>
          <w:lang w:val="fr-FR"/>
        </w:rPr>
        <w:t xml:space="preserve"> de la sanction </w:t>
      </w:r>
      <w:r w:rsidRPr="003204E2">
        <w:rPr>
          <w:lang w:val="fr-FR"/>
        </w:rPr>
        <w:t>prononcée (</w:t>
      </w:r>
      <w:r w:rsidRPr="003204E2">
        <w:rPr>
          <w:i/>
          <w:lang w:val="fr-FR"/>
        </w:rPr>
        <w:t>Stoll</w:t>
      </w:r>
      <w:r w:rsidRPr="003204E2">
        <w:rPr>
          <w:lang w:val="fr-FR"/>
        </w:rPr>
        <w:t xml:space="preserve">, </w:t>
      </w:r>
      <w:r w:rsidR="00F13319" w:rsidRPr="003204E2">
        <w:rPr>
          <w:lang w:val="fr-FR"/>
        </w:rPr>
        <w:t xml:space="preserve">précité, § 153, </w:t>
      </w:r>
      <w:r w:rsidR="00811580" w:rsidRPr="003204E2">
        <w:rPr>
          <w:i/>
          <w:lang w:val="fr-FR"/>
        </w:rPr>
        <w:t>Pentikäinen</w:t>
      </w:r>
      <w:r w:rsidR="00811580" w:rsidRPr="003204E2">
        <w:rPr>
          <w:lang w:val="fr-FR"/>
        </w:rPr>
        <w:t>,</w:t>
      </w:r>
      <w:r w:rsidR="00811580" w:rsidRPr="003204E2">
        <w:rPr>
          <w:i/>
          <w:lang w:val="fr-FR"/>
        </w:rPr>
        <w:t xml:space="preserve"> </w:t>
      </w:r>
      <w:r w:rsidR="00811580" w:rsidRPr="003204E2">
        <w:rPr>
          <w:lang w:val="fr-FR"/>
        </w:rPr>
        <w:t>précité, §§ 112 et 113</w:t>
      </w:r>
      <w:r w:rsidR="00F13319" w:rsidRPr="003204E2">
        <w:rPr>
          <w:lang w:val="fr-FR"/>
        </w:rPr>
        <w:t xml:space="preserve"> et </w:t>
      </w:r>
      <w:r w:rsidR="00F13319" w:rsidRPr="003204E2">
        <w:rPr>
          <w:i/>
          <w:lang w:val="fr-FR"/>
        </w:rPr>
        <w:t>Boris</w:t>
      </w:r>
      <w:r w:rsidR="00F13319" w:rsidRPr="003204E2">
        <w:rPr>
          <w:lang w:val="fr-FR"/>
        </w:rPr>
        <w:t xml:space="preserve"> </w:t>
      </w:r>
      <w:r w:rsidR="00F13319" w:rsidRPr="003204E2">
        <w:rPr>
          <w:i/>
          <w:lang w:val="fr-FR"/>
        </w:rPr>
        <w:t>Erdtmann c. Allemagne</w:t>
      </w:r>
      <w:r w:rsidR="00F13319" w:rsidRPr="003204E2">
        <w:rPr>
          <w:lang w:val="fr-FR"/>
        </w:rPr>
        <w:t xml:space="preserve"> (déc.), n</w:t>
      </w:r>
      <w:r w:rsidR="00681DD3" w:rsidRPr="003204E2">
        <w:rPr>
          <w:vertAlign w:val="superscript"/>
          <w:lang w:val="fr-FR"/>
        </w:rPr>
        <w:t>o</w:t>
      </w:r>
      <w:r w:rsidR="00F13319" w:rsidRPr="003204E2">
        <w:rPr>
          <w:lang w:val="fr-FR"/>
        </w:rPr>
        <w:t xml:space="preserve"> 56328/10, 5</w:t>
      </w:r>
      <w:r w:rsidR="005F279E" w:rsidRPr="003204E2">
        <w:rPr>
          <w:lang w:val="fr-FR"/>
        </w:rPr>
        <w:t> </w:t>
      </w:r>
      <w:r w:rsidR="00F13319" w:rsidRPr="003204E2">
        <w:rPr>
          <w:lang w:val="fr-FR"/>
        </w:rPr>
        <w:t>janvier 2016</w:t>
      </w:r>
      <w:r w:rsidRPr="003204E2">
        <w:rPr>
          <w:lang w:val="fr-FR"/>
        </w:rPr>
        <w:t>)</w:t>
      </w:r>
      <w:r w:rsidR="00E31F4D" w:rsidRPr="003204E2">
        <w:rPr>
          <w:lang w:val="fr-FR"/>
        </w:rPr>
        <w:t>.</w:t>
      </w:r>
    </w:p>
    <w:p w:rsidR="003257B8" w:rsidRPr="003204E2" w:rsidRDefault="001B26E1" w:rsidP="003204E2">
      <w:pPr>
        <w:pStyle w:val="ECHRHeading5"/>
        <w:rPr>
          <w:lang w:val="fr-FR"/>
        </w:rPr>
      </w:pPr>
      <w:r w:rsidRPr="003204E2">
        <w:rPr>
          <w:lang w:val="fr-FR"/>
        </w:rPr>
        <w:t>ii.  </w:t>
      </w:r>
      <w:r w:rsidR="003257B8" w:rsidRPr="003204E2">
        <w:rPr>
          <w:lang w:val="fr-FR"/>
        </w:rPr>
        <w:t>Application de ces principes en l</w:t>
      </w:r>
      <w:r w:rsidR="003204E2" w:rsidRPr="003204E2">
        <w:rPr>
          <w:lang w:val="fr-FR"/>
        </w:rPr>
        <w:t>’</w:t>
      </w:r>
      <w:r w:rsidR="003257B8" w:rsidRPr="003204E2">
        <w:rPr>
          <w:lang w:val="fr-FR"/>
        </w:rPr>
        <w:t>espèce</w:t>
      </w:r>
    </w:p>
    <w:p w:rsidR="00853C43" w:rsidRPr="003204E2" w:rsidRDefault="00853C43"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57</w:t>
      </w:r>
      <w:r w:rsidRPr="003204E2">
        <w:rPr>
          <w:lang w:val="fr-FR"/>
        </w:rPr>
        <w:fldChar w:fldCharType="end"/>
      </w:r>
      <w:r w:rsidRPr="003204E2">
        <w:rPr>
          <w:lang w:val="fr-FR"/>
        </w:rPr>
        <w:t>.  </w:t>
      </w:r>
      <w:r w:rsidR="009A2E8E" w:rsidRPr="003204E2">
        <w:rPr>
          <w:lang w:val="fr-FR"/>
        </w:rPr>
        <w:t>I</w:t>
      </w:r>
      <w:r w:rsidRPr="003204E2">
        <w:rPr>
          <w:lang w:val="fr-FR"/>
        </w:rPr>
        <w:t>l y a lieu d</w:t>
      </w:r>
      <w:r w:rsidR="003204E2" w:rsidRPr="003204E2">
        <w:rPr>
          <w:lang w:val="fr-FR"/>
        </w:rPr>
        <w:t>’</w:t>
      </w:r>
      <w:r w:rsidRPr="003204E2">
        <w:rPr>
          <w:lang w:val="fr-FR"/>
        </w:rPr>
        <w:t xml:space="preserve">observer </w:t>
      </w:r>
      <w:r w:rsidR="005C6A55" w:rsidRPr="003204E2">
        <w:rPr>
          <w:lang w:val="fr-FR"/>
        </w:rPr>
        <w:t>d</w:t>
      </w:r>
      <w:r w:rsidR="003204E2" w:rsidRPr="003204E2">
        <w:rPr>
          <w:lang w:val="fr-FR"/>
        </w:rPr>
        <w:t>’</w:t>
      </w:r>
      <w:r w:rsidR="005C6A55" w:rsidRPr="003204E2">
        <w:rPr>
          <w:lang w:val="fr-FR"/>
        </w:rPr>
        <w:t xml:space="preserve">emblée </w:t>
      </w:r>
      <w:r w:rsidRPr="003204E2">
        <w:rPr>
          <w:lang w:val="fr-FR"/>
        </w:rPr>
        <w:t>que, à la différence d</w:t>
      </w:r>
      <w:r w:rsidR="003204E2" w:rsidRPr="003204E2">
        <w:rPr>
          <w:lang w:val="fr-FR"/>
        </w:rPr>
        <w:t>’</w:t>
      </w:r>
      <w:r w:rsidRPr="003204E2">
        <w:rPr>
          <w:lang w:val="fr-FR"/>
        </w:rPr>
        <w:t>autres affaires dont des journalistes ont saisi la Cour sur le fondement de l</w:t>
      </w:r>
      <w:r w:rsidR="003204E2" w:rsidRPr="003204E2">
        <w:rPr>
          <w:lang w:val="fr-FR"/>
        </w:rPr>
        <w:t>’</w:t>
      </w:r>
      <w:r w:rsidRPr="003204E2">
        <w:rPr>
          <w:lang w:val="fr-FR"/>
        </w:rPr>
        <w:t xml:space="preserve">article 10 de la </w:t>
      </w:r>
      <w:r w:rsidRPr="003204E2">
        <w:rPr>
          <w:lang w:val="fr-FR"/>
        </w:rPr>
        <w:lastRenderedPageBreak/>
        <w:t>Convention (notamment, parmi beaucoup d</w:t>
      </w:r>
      <w:r w:rsidR="003204E2" w:rsidRPr="003204E2">
        <w:rPr>
          <w:lang w:val="fr-FR"/>
        </w:rPr>
        <w:t>’</w:t>
      </w:r>
      <w:r w:rsidRPr="003204E2">
        <w:rPr>
          <w:lang w:val="fr-FR"/>
        </w:rPr>
        <w:t>autres, l</w:t>
      </w:r>
      <w:r w:rsidR="003204E2" w:rsidRPr="003204E2">
        <w:rPr>
          <w:lang w:val="fr-FR"/>
        </w:rPr>
        <w:t>’</w:t>
      </w:r>
      <w:r w:rsidRPr="003204E2">
        <w:rPr>
          <w:lang w:val="fr-FR"/>
        </w:rPr>
        <w:t xml:space="preserve">affaire </w:t>
      </w:r>
      <w:r w:rsidRPr="003204E2">
        <w:rPr>
          <w:i/>
          <w:lang w:val="fr-FR"/>
        </w:rPr>
        <w:t>Stoll</w:t>
      </w:r>
      <w:r w:rsidR="005C6A55" w:rsidRPr="003204E2">
        <w:rPr>
          <w:lang w:val="fr-FR"/>
        </w:rPr>
        <w:t>, précité</w:t>
      </w:r>
      <w:r w:rsidRPr="003204E2">
        <w:rPr>
          <w:lang w:val="fr-FR"/>
        </w:rPr>
        <w:t>) la présente espèce ne porte pas sur l</w:t>
      </w:r>
      <w:r w:rsidR="003204E2" w:rsidRPr="003204E2">
        <w:rPr>
          <w:lang w:val="fr-FR"/>
        </w:rPr>
        <w:t>’</w:t>
      </w:r>
      <w:r w:rsidRPr="003204E2">
        <w:rPr>
          <w:lang w:val="fr-FR"/>
        </w:rPr>
        <w:t>interdiction d</w:t>
      </w:r>
      <w:r w:rsidR="003204E2" w:rsidRPr="003204E2">
        <w:rPr>
          <w:lang w:val="fr-FR"/>
        </w:rPr>
        <w:t>’</w:t>
      </w:r>
      <w:r w:rsidRPr="003204E2">
        <w:rPr>
          <w:lang w:val="fr-FR"/>
        </w:rPr>
        <w:t xml:space="preserve">une publication mais a pour objet des mesures prises </w:t>
      </w:r>
      <w:r w:rsidR="00B46840" w:rsidRPr="003204E2">
        <w:rPr>
          <w:lang w:val="fr-FR"/>
        </w:rPr>
        <w:t>à l</w:t>
      </w:r>
      <w:r w:rsidR="003204E2" w:rsidRPr="003204E2">
        <w:rPr>
          <w:lang w:val="fr-FR"/>
        </w:rPr>
        <w:t>’</w:t>
      </w:r>
      <w:r w:rsidR="00B46840" w:rsidRPr="003204E2">
        <w:rPr>
          <w:lang w:val="fr-FR"/>
        </w:rPr>
        <w:t>en</w:t>
      </w:r>
      <w:r w:rsidRPr="003204E2">
        <w:rPr>
          <w:lang w:val="fr-FR"/>
        </w:rPr>
        <w:t xml:space="preserve">contre </w:t>
      </w:r>
      <w:r w:rsidR="00B46840" w:rsidRPr="003204E2">
        <w:rPr>
          <w:lang w:val="fr-FR"/>
        </w:rPr>
        <w:t>de</w:t>
      </w:r>
      <w:r w:rsidRPr="003204E2">
        <w:rPr>
          <w:lang w:val="fr-FR"/>
        </w:rPr>
        <w:t xml:space="preserve"> journalistes </w:t>
      </w:r>
      <w:r w:rsidR="00B810FA" w:rsidRPr="003204E2">
        <w:rPr>
          <w:lang w:val="fr-FR"/>
        </w:rPr>
        <w:t>en raison d</w:t>
      </w:r>
      <w:r w:rsidR="003204E2" w:rsidRPr="003204E2">
        <w:rPr>
          <w:lang w:val="fr-FR"/>
        </w:rPr>
        <w:t>’</w:t>
      </w:r>
      <w:r w:rsidR="00B810FA" w:rsidRPr="003204E2">
        <w:rPr>
          <w:lang w:val="fr-FR"/>
        </w:rPr>
        <w:t xml:space="preserve">actes qui, </w:t>
      </w:r>
      <w:r w:rsidR="005C6A55" w:rsidRPr="003204E2">
        <w:rPr>
          <w:lang w:val="fr-FR"/>
        </w:rPr>
        <w:t>selon le système juridique italien</w:t>
      </w:r>
      <w:r w:rsidR="00B810FA" w:rsidRPr="003204E2">
        <w:rPr>
          <w:lang w:val="fr-FR"/>
        </w:rPr>
        <w:t>,</w:t>
      </w:r>
      <w:r w:rsidR="005C6A55" w:rsidRPr="003204E2">
        <w:rPr>
          <w:lang w:val="fr-FR"/>
        </w:rPr>
        <w:t xml:space="preserve"> </w:t>
      </w:r>
      <w:r w:rsidR="00B46840" w:rsidRPr="003204E2">
        <w:rPr>
          <w:lang w:val="fr-FR"/>
        </w:rPr>
        <w:t>étaient</w:t>
      </w:r>
      <w:r w:rsidR="005C6A55" w:rsidRPr="003204E2">
        <w:rPr>
          <w:lang w:val="fr-FR"/>
        </w:rPr>
        <w:t xml:space="preserve"> contraire</w:t>
      </w:r>
      <w:r w:rsidR="0046083C" w:rsidRPr="003204E2">
        <w:rPr>
          <w:lang w:val="fr-FR"/>
        </w:rPr>
        <w:t>s</w:t>
      </w:r>
      <w:r w:rsidR="005C6A55" w:rsidRPr="003204E2">
        <w:rPr>
          <w:lang w:val="fr-FR"/>
        </w:rPr>
        <w:t xml:space="preserve"> à la loi</w:t>
      </w:r>
      <w:r w:rsidR="00B46840" w:rsidRPr="003204E2">
        <w:rPr>
          <w:lang w:val="fr-FR"/>
        </w:rPr>
        <w:t xml:space="preserve"> pénale</w:t>
      </w:r>
      <w:r w:rsidRPr="003204E2">
        <w:rPr>
          <w:lang w:val="fr-FR"/>
        </w:rPr>
        <w:t>.</w:t>
      </w:r>
    </w:p>
    <w:p w:rsidR="003204E2" w:rsidRPr="003204E2" w:rsidRDefault="003402E7"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58</w:t>
      </w:r>
      <w:r w:rsidRPr="003204E2">
        <w:rPr>
          <w:lang w:val="fr-FR"/>
        </w:rPr>
        <w:fldChar w:fldCharType="end"/>
      </w:r>
      <w:r w:rsidRPr="003204E2">
        <w:rPr>
          <w:lang w:val="fr-FR"/>
        </w:rPr>
        <w:t>.  Afin d</w:t>
      </w:r>
      <w:r w:rsidR="003204E2" w:rsidRPr="003204E2">
        <w:rPr>
          <w:lang w:val="fr-FR"/>
        </w:rPr>
        <w:t>’</w:t>
      </w:r>
      <w:r w:rsidR="00853C43" w:rsidRPr="003204E2">
        <w:rPr>
          <w:lang w:val="fr-FR"/>
        </w:rPr>
        <w:t>apprécier la nécessité de</w:t>
      </w:r>
      <w:r w:rsidR="00B810FA" w:rsidRPr="003204E2">
        <w:rPr>
          <w:lang w:val="fr-FR"/>
        </w:rPr>
        <w:t xml:space="preserve"> ce</w:t>
      </w:r>
      <w:r w:rsidR="00853C43" w:rsidRPr="003204E2">
        <w:rPr>
          <w:lang w:val="fr-FR"/>
        </w:rPr>
        <w:t xml:space="preserve">s mesures, la Cour </w:t>
      </w:r>
      <w:r w:rsidRPr="003204E2">
        <w:rPr>
          <w:lang w:val="fr-FR"/>
        </w:rPr>
        <w:t xml:space="preserve">relève </w:t>
      </w:r>
      <w:r w:rsidR="0046083C" w:rsidRPr="003204E2">
        <w:rPr>
          <w:lang w:val="fr-FR"/>
        </w:rPr>
        <w:t>que</w:t>
      </w:r>
      <w:r w:rsidR="00853C43" w:rsidRPr="003204E2">
        <w:rPr>
          <w:lang w:val="fr-FR"/>
        </w:rPr>
        <w:t xml:space="preserve"> les intérêts à mettre en balance en l</w:t>
      </w:r>
      <w:r w:rsidR="003204E2" w:rsidRPr="003204E2">
        <w:rPr>
          <w:lang w:val="fr-FR"/>
        </w:rPr>
        <w:t>’</w:t>
      </w:r>
      <w:r w:rsidR="00853C43" w:rsidRPr="003204E2">
        <w:rPr>
          <w:lang w:val="fr-FR"/>
        </w:rPr>
        <w:t xml:space="preserve">espèce </w:t>
      </w:r>
      <w:r w:rsidRPr="003204E2">
        <w:rPr>
          <w:lang w:val="fr-FR"/>
        </w:rPr>
        <w:t>sont constitué</w:t>
      </w:r>
      <w:r w:rsidR="0046083C" w:rsidRPr="003204E2">
        <w:rPr>
          <w:lang w:val="fr-FR"/>
        </w:rPr>
        <w:t>s,</w:t>
      </w:r>
      <w:r w:rsidRPr="003204E2">
        <w:rPr>
          <w:lang w:val="fr-FR"/>
        </w:rPr>
        <w:t xml:space="preserve"> d</w:t>
      </w:r>
      <w:r w:rsidR="003204E2" w:rsidRPr="003204E2">
        <w:rPr>
          <w:lang w:val="fr-FR"/>
        </w:rPr>
        <w:t>’</w:t>
      </w:r>
      <w:r w:rsidRPr="003204E2">
        <w:rPr>
          <w:lang w:val="fr-FR"/>
        </w:rPr>
        <w:t>une part</w:t>
      </w:r>
      <w:r w:rsidR="0046083C" w:rsidRPr="003204E2">
        <w:rPr>
          <w:lang w:val="fr-FR"/>
        </w:rPr>
        <w:t>,</w:t>
      </w:r>
      <w:r w:rsidRPr="003204E2">
        <w:rPr>
          <w:lang w:val="fr-FR"/>
        </w:rPr>
        <w:t xml:space="preserve"> de l</w:t>
      </w:r>
      <w:r w:rsidR="003204E2" w:rsidRPr="003204E2">
        <w:rPr>
          <w:lang w:val="fr-FR"/>
        </w:rPr>
        <w:t>’</w:t>
      </w:r>
      <w:r w:rsidRPr="003204E2">
        <w:rPr>
          <w:lang w:val="fr-FR"/>
        </w:rPr>
        <w:t>intér</w:t>
      </w:r>
      <w:r w:rsidR="0046083C" w:rsidRPr="003204E2">
        <w:rPr>
          <w:lang w:val="fr-FR"/>
        </w:rPr>
        <w:t>êt public au bon fonctionne</w:t>
      </w:r>
      <w:r w:rsidRPr="003204E2">
        <w:rPr>
          <w:lang w:val="fr-FR"/>
        </w:rPr>
        <w:t xml:space="preserve">ment des forces de </w:t>
      </w:r>
      <w:r w:rsidR="00B810FA" w:rsidRPr="003204E2">
        <w:rPr>
          <w:lang w:val="fr-FR"/>
        </w:rPr>
        <w:t>l</w:t>
      </w:r>
      <w:r w:rsidR="003204E2" w:rsidRPr="003204E2">
        <w:rPr>
          <w:lang w:val="fr-FR"/>
        </w:rPr>
        <w:t>’</w:t>
      </w:r>
      <w:r w:rsidR="00B810FA" w:rsidRPr="003204E2">
        <w:rPr>
          <w:lang w:val="fr-FR"/>
        </w:rPr>
        <w:t>ordre</w:t>
      </w:r>
      <w:r w:rsidRPr="003204E2">
        <w:rPr>
          <w:lang w:val="fr-FR"/>
        </w:rPr>
        <w:t xml:space="preserve"> et, de l</w:t>
      </w:r>
      <w:r w:rsidR="003204E2" w:rsidRPr="003204E2">
        <w:rPr>
          <w:lang w:val="fr-FR"/>
        </w:rPr>
        <w:t>’</w:t>
      </w:r>
      <w:r w:rsidRPr="003204E2">
        <w:rPr>
          <w:lang w:val="fr-FR"/>
        </w:rPr>
        <w:t xml:space="preserve">autre part, </w:t>
      </w:r>
      <w:r w:rsidR="006A2B96" w:rsidRPr="003204E2">
        <w:rPr>
          <w:lang w:val="fr-FR"/>
        </w:rPr>
        <w:t xml:space="preserve">de </w:t>
      </w:r>
      <w:r w:rsidR="009B6F63" w:rsidRPr="003204E2">
        <w:rPr>
          <w:lang w:val="fr-FR"/>
        </w:rPr>
        <w:t>l</w:t>
      </w:r>
      <w:r w:rsidR="003204E2" w:rsidRPr="003204E2">
        <w:rPr>
          <w:lang w:val="fr-FR"/>
        </w:rPr>
        <w:t>’</w:t>
      </w:r>
      <w:r w:rsidR="005D1B2F" w:rsidRPr="003204E2">
        <w:rPr>
          <w:lang w:val="fr-FR"/>
        </w:rPr>
        <w:t xml:space="preserve">intérêt </w:t>
      </w:r>
      <w:r w:rsidR="00131A8D" w:rsidRPr="003204E2">
        <w:rPr>
          <w:lang w:val="fr-FR"/>
        </w:rPr>
        <w:t>des lecteurs</w:t>
      </w:r>
      <w:r w:rsidR="005D1B2F" w:rsidRPr="003204E2">
        <w:rPr>
          <w:lang w:val="fr-FR"/>
        </w:rPr>
        <w:t xml:space="preserve"> de recevoir des </w:t>
      </w:r>
      <w:r w:rsidR="009B6F63" w:rsidRPr="003204E2">
        <w:rPr>
          <w:lang w:val="fr-FR"/>
        </w:rPr>
        <w:t>informations.</w:t>
      </w:r>
    </w:p>
    <w:p w:rsidR="006B6854" w:rsidRPr="003204E2" w:rsidRDefault="0046083C"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59</w:t>
      </w:r>
      <w:r w:rsidRPr="003204E2">
        <w:rPr>
          <w:lang w:val="fr-FR"/>
        </w:rPr>
        <w:fldChar w:fldCharType="end"/>
      </w:r>
      <w:r w:rsidRPr="003204E2">
        <w:rPr>
          <w:lang w:val="fr-FR"/>
        </w:rPr>
        <w:t xml:space="preserve">.  Quoi que ces deux intérêts puissent être considérés </w:t>
      </w:r>
      <w:r w:rsidR="00853C43" w:rsidRPr="003204E2">
        <w:rPr>
          <w:lang w:val="fr-FR"/>
        </w:rPr>
        <w:t xml:space="preserve">tous deux </w:t>
      </w:r>
      <w:r w:rsidRPr="003204E2">
        <w:rPr>
          <w:lang w:val="fr-FR"/>
        </w:rPr>
        <w:t xml:space="preserve">comme ayant </w:t>
      </w:r>
      <w:r w:rsidR="00853C43" w:rsidRPr="003204E2">
        <w:rPr>
          <w:lang w:val="fr-FR"/>
        </w:rPr>
        <w:t xml:space="preserve">un caractère public (voir, </w:t>
      </w:r>
      <w:r w:rsidR="00853C43" w:rsidRPr="003204E2">
        <w:rPr>
          <w:i/>
          <w:lang w:val="fr-FR"/>
        </w:rPr>
        <w:t>mutatis mutandis</w:t>
      </w:r>
      <w:r w:rsidR="00853C43" w:rsidRPr="003204E2">
        <w:rPr>
          <w:lang w:val="fr-FR"/>
        </w:rPr>
        <w:t xml:space="preserve">, </w:t>
      </w:r>
      <w:r w:rsidR="00853C43" w:rsidRPr="003204E2">
        <w:rPr>
          <w:i/>
          <w:lang w:val="fr-FR"/>
        </w:rPr>
        <w:t>Stoll</w:t>
      </w:r>
      <w:r w:rsidR="00853C43" w:rsidRPr="003204E2">
        <w:rPr>
          <w:lang w:val="fr-FR"/>
        </w:rPr>
        <w:t>, précité, §§ 115-116</w:t>
      </w:r>
      <w:r w:rsidRPr="003204E2">
        <w:rPr>
          <w:lang w:val="fr-FR"/>
        </w:rPr>
        <w:t xml:space="preserve">), il y </w:t>
      </w:r>
      <w:r w:rsidR="003121E1" w:rsidRPr="003204E2">
        <w:rPr>
          <w:lang w:val="fr-FR"/>
        </w:rPr>
        <w:t xml:space="preserve">a </w:t>
      </w:r>
      <w:r w:rsidR="000E5EE0" w:rsidRPr="003204E2">
        <w:rPr>
          <w:lang w:val="fr-FR"/>
        </w:rPr>
        <w:t xml:space="preserve">néanmoins </w:t>
      </w:r>
      <w:r w:rsidR="003121E1" w:rsidRPr="003204E2">
        <w:rPr>
          <w:lang w:val="fr-FR"/>
        </w:rPr>
        <w:t>lieu de relever</w:t>
      </w:r>
      <w:r w:rsidRPr="003204E2">
        <w:rPr>
          <w:lang w:val="fr-FR"/>
        </w:rPr>
        <w:t xml:space="preserve"> que l</w:t>
      </w:r>
      <w:r w:rsidR="003204E2" w:rsidRPr="003204E2">
        <w:rPr>
          <w:lang w:val="fr-FR"/>
        </w:rPr>
        <w:t>’</w:t>
      </w:r>
      <w:r w:rsidRPr="003204E2">
        <w:rPr>
          <w:lang w:val="fr-FR"/>
        </w:rPr>
        <w:t xml:space="preserve">intérêt </w:t>
      </w:r>
      <w:r w:rsidR="009B6F63" w:rsidRPr="003204E2">
        <w:rPr>
          <w:lang w:val="fr-FR"/>
        </w:rPr>
        <w:t>du public de prendre connaissance de</w:t>
      </w:r>
      <w:r w:rsidRPr="003204E2">
        <w:rPr>
          <w:lang w:val="fr-FR"/>
        </w:rPr>
        <w:t xml:space="preserve"> faits divers dans un journal local ne saurait avoir le même poids que celui </w:t>
      </w:r>
      <w:r w:rsidR="009B6F63" w:rsidRPr="003204E2">
        <w:rPr>
          <w:lang w:val="fr-FR"/>
        </w:rPr>
        <w:t>du</w:t>
      </w:r>
      <w:r w:rsidRPr="003204E2">
        <w:rPr>
          <w:lang w:val="fr-FR"/>
        </w:rPr>
        <w:t xml:space="preserve"> public </w:t>
      </w:r>
      <w:r w:rsidR="009B6F63" w:rsidRPr="003204E2">
        <w:rPr>
          <w:lang w:val="fr-FR"/>
        </w:rPr>
        <w:t>d</w:t>
      </w:r>
      <w:r w:rsidR="003204E2" w:rsidRPr="003204E2">
        <w:rPr>
          <w:lang w:val="fr-FR"/>
        </w:rPr>
        <w:t>’</w:t>
      </w:r>
      <w:r w:rsidR="009B6F63" w:rsidRPr="003204E2">
        <w:rPr>
          <w:lang w:val="fr-FR"/>
        </w:rPr>
        <w:t>acquérir d</w:t>
      </w:r>
      <w:r w:rsidR="003204E2" w:rsidRPr="003204E2">
        <w:rPr>
          <w:lang w:val="fr-FR"/>
        </w:rPr>
        <w:t>’</w:t>
      </w:r>
      <w:r w:rsidR="009B6F63" w:rsidRPr="003204E2">
        <w:rPr>
          <w:lang w:val="fr-FR"/>
        </w:rPr>
        <w:t xml:space="preserve">informations </w:t>
      </w:r>
      <w:r w:rsidRPr="003204E2">
        <w:rPr>
          <w:lang w:val="fr-FR"/>
        </w:rPr>
        <w:t>sur une question d</w:t>
      </w:r>
      <w:r w:rsidR="003204E2" w:rsidRPr="003204E2">
        <w:rPr>
          <w:lang w:val="fr-FR"/>
        </w:rPr>
        <w:t>’</w:t>
      </w:r>
      <w:r w:rsidRPr="003204E2">
        <w:rPr>
          <w:lang w:val="fr-FR"/>
        </w:rPr>
        <w:t>intérêt général et historique</w:t>
      </w:r>
      <w:r w:rsidR="004C52F2" w:rsidRPr="003204E2">
        <w:rPr>
          <w:lang w:val="fr-FR"/>
        </w:rPr>
        <w:t xml:space="preserve"> </w:t>
      </w:r>
      <w:r w:rsidRPr="003204E2">
        <w:rPr>
          <w:lang w:val="fr-FR"/>
        </w:rPr>
        <w:t>ou revêtant un grand intérêt médiatique</w:t>
      </w:r>
      <w:r w:rsidR="00E47199" w:rsidRPr="003204E2">
        <w:rPr>
          <w:lang w:val="fr-FR"/>
        </w:rPr>
        <w:t xml:space="preserve">, </w:t>
      </w:r>
      <w:r w:rsidR="000E5EE0" w:rsidRPr="003204E2">
        <w:rPr>
          <w:lang w:val="fr-FR"/>
        </w:rPr>
        <w:t xml:space="preserve">questions </w:t>
      </w:r>
      <w:r w:rsidR="00E47199" w:rsidRPr="003204E2">
        <w:rPr>
          <w:lang w:val="fr-FR"/>
        </w:rPr>
        <w:t>que la Cour a déjà eu l</w:t>
      </w:r>
      <w:r w:rsidR="003204E2" w:rsidRPr="003204E2">
        <w:rPr>
          <w:lang w:val="fr-FR"/>
        </w:rPr>
        <w:t>’</w:t>
      </w:r>
      <w:r w:rsidR="00E47199" w:rsidRPr="003204E2">
        <w:rPr>
          <w:lang w:val="fr-FR"/>
        </w:rPr>
        <w:t>occasion d</w:t>
      </w:r>
      <w:r w:rsidR="003204E2" w:rsidRPr="003204E2">
        <w:rPr>
          <w:lang w:val="fr-FR"/>
        </w:rPr>
        <w:t>’</w:t>
      </w:r>
      <w:r w:rsidR="006B6854" w:rsidRPr="003204E2">
        <w:rPr>
          <w:lang w:val="fr-FR"/>
        </w:rPr>
        <w:t>examiner.</w:t>
      </w:r>
    </w:p>
    <w:p w:rsidR="00ED4FF3" w:rsidRPr="003204E2" w:rsidRDefault="006B6854"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60</w:t>
      </w:r>
      <w:r w:rsidRPr="003204E2">
        <w:rPr>
          <w:lang w:val="fr-FR"/>
        </w:rPr>
        <w:fldChar w:fldCharType="end"/>
      </w:r>
      <w:r w:rsidRPr="003204E2">
        <w:rPr>
          <w:lang w:val="fr-FR"/>
        </w:rPr>
        <w:t>.  </w:t>
      </w:r>
      <w:r w:rsidR="000E5EE0" w:rsidRPr="003204E2">
        <w:rPr>
          <w:lang w:val="fr-FR"/>
        </w:rPr>
        <w:t xml:space="preserve">À cet égard, elle rappelle que </w:t>
      </w:r>
      <w:r w:rsidR="00E269C8" w:rsidRPr="003204E2">
        <w:rPr>
          <w:lang w:val="fr-FR"/>
        </w:rPr>
        <w:t>l</w:t>
      </w:r>
      <w:r w:rsidR="003204E2" w:rsidRPr="003204E2">
        <w:rPr>
          <w:lang w:val="fr-FR"/>
        </w:rPr>
        <w:t>’</w:t>
      </w:r>
      <w:r w:rsidR="00E269C8" w:rsidRPr="003204E2">
        <w:rPr>
          <w:lang w:val="fr-FR"/>
        </w:rPr>
        <w:t xml:space="preserve">affaire </w:t>
      </w:r>
      <w:r w:rsidR="009B6F63" w:rsidRPr="003204E2">
        <w:rPr>
          <w:i/>
          <w:lang w:val="fr-FR"/>
        </w:rPr>
        <w:t>Stoll</w:t>
      </w:r>
      <w:r w:rsidR="009B6F63" w:rsidRPr="003204E2">
        <w:rPr>
          <w:lang w:val="fr-FR"/>
        </w:rPr>
        <w:t xml:space="preserve"> </w:t>
      </w:r>
      <w:r w:rsidR="000E5EE0" w:rsidRPr="003204E2">
        <w:rPr>
          <w:lang w:val="fr-FR"/>
        </w:rPr>
        <w:t>(précité)</w:t>
      </w:r>
      <w:r w:rsidR="009B6F63" w:rsidRPr="003204E2">
        <w:rPr>
          <w:lang w:val="fr-FR"/>
        </w:rPr>
        <w:t xml:space="preserve"> </w:t>
      </w:r>
      <w:r w:rsidR="000E5EE0" w:rsidRPr="003204E2">
        <w:rPr>
          <w:lang w:val="fr-FR"/>
        </w:rPr>
        <w:t>concernait la diffusion d</w:t>
      </w:r>
      <w:r w:rsidR="003204E2" w:rsidRPr="003204E2">
        <w:rPr>
          <w:lang w:val="fr-FR"/>
        </w:rPr>
        <w:t>’</w:t>
      </w:r>
      <w:r w:rsidR="000E5EE0" w:rsidRPr="003204E2">
        <w:rPr>
          <w:lang w:val="fr-FR"/>
        </w:rPr>
        <w:t xml:space="preserve">informations tenant à </w:t>
      </w:r>
      <w:r w:rsidR="003121E1" w:rsidRPr="003204E2">
        <w:rPr>
          <w:lang w:val="fr-FR"/>
        </w:rPr>
        <w:t>l</w:t>
      </w:r>
      <w:r w:rsidR="003204E2" w:rsidRPr="003204E2">
        <w:rPr>
          <w:lang w:val="fr-FR"/>
        </w:rPr>
        <w:t>’</w:t>
      </w:r>
      <w:r w:rsidR="003121E1" w:rsidRPr="003204E2">
        <w:rPr>
          <w:lang w:val="fr-FR"/>
        </w:rPr>
        <w:t>indemnisation due aux victimes de l</w:t>
      </w:r>
      <w:r w:rsidR="003204E2" w:rsidRPr="003204E2">
        <w:rPr>
          <w:lang w:val="fr-FR"/>
        </w:rPr>
        <w:t>’</w:t>
      </w:r>
      <w:r w:rsidR="003121E1" w:rsidRPr="003204E2">
        <w:rPr>
          <w:lang w:val="fr-FR"/>
        </w:rPr>
        <w:t>Holocauste pour les fonds en déshérence s</w:t>
      </w:r>
      <w:r w:rsidR="00E269C8" w:rsidRPr="003204E2">
        <w:rPr>
          <w:lang w:val="fr-FR"/>
        </w:rPr>
        <w:t>ur des comptes bancaires suisse</w:t>
      </w:r>
      <w:r w:rsidR="000E5EE0" w:rsidRPr="003204E2">
        <w:rPr>
          <w:lang w:val="fr-FR"/>
        </w:rPr>
        <w:t>. L</w:t>
      </w:r>
      <w:r w:rsidR="003204E2" w:rsidRPr="003204E2">
        <w:rPr>
          <w:lang w:val="fr-FR"/>
        </w:rPr>
        <w:t>’</w:t>
      </w:r>
      <w:r w:rsidR="009B6F63" w:rsidRPr="003204E2">
        <w:rPr>
          <w:lang w:val="fr-FR"/>
        </w:rPr>
        <w:t xml:space="preserve">arrêt </w:t>
      </w:r>
      <w:r w:rsidR="002A67C8" w:rsidRPr="003204E2">
        <w:rPr>
          <w:i/>
          <w:lang w:val="fr-FR"/>
        </w:rPr>
        <w:t>Pentikäinen</w:t>
      </w:r>
      <w:r w:rsidR="000E5EE0" w:rsidRPr="003204E2">
        <w:rPr>
          <w:lang w:val="fr-FR"/>
        </w:rPr>
        <w:t xml:space="preserve"> (</w:t>
      </w:r>
      <w:r w:rsidR="002A67C8" w:rsidRPr="003204E2">
        <w:rPr>
          <w:lang w:val="fr-FR"/>
        </w:rPr>
        <w:t>précité</w:t>
      </w:r>
      <w:r w:rsidR="000E5EE0" w:rsidRPr="003204E2">
        <w:rPr>
          <w:lang w:val="fr-FR"/>
        </w:rPr>
        <w:t>)</w:t>
      </w:r>
      <w:r w:rsidR="009B6F63" w:rsidRPr="003204E2">
        <w:rPr>
          <w:lang w:val="fr-FR"/>
        </w:rPr>
        <w:t xml:space="preserve"> </w:t>
      </w:r>
      <w:r w:rsidR="000E5EE0" w:rsidRPr="003204E2">
        <w:rPr>
          <w:lang w:val="fr-FR"/>
        </w:rPr>
        <w:t>portait sur la diffusion d</w:t>
      </w:r>
      <w:r w:rsidR="003204E2" w:rsidRPr="003204E2">
        <w:rPr>
          <w:lang w:val="fr-FR"/>
        </w:rPr>
        <w:t>’</w:t>
      </w:r>
      <w:r w:rsidR="000E5EE0" w:rsidRPr="003204E2">
        <w:rPr>
          <w:lang w:val="fr-FR"/>
        </w:rPr>
        <w:t xml:space="preserve">informations relatives à </w:t>
      </w:r>
      <w:r w:rsidR="002A67C8" w:rsidRPr="003204E2">
        <w:rPr>
          <w:lang w:val="fr-FR"/>
        </w:rPr>
        <w:t>une manifestation</w:t>
      </w:r>
      <w:r w:rsidR="009B6F63" w:rsidRPr="003204E2">
        <w:rPr>
          <w:lang w:val="fr-FR"/>
        </w:rPr>
        <w:t xml:space="preserve"> </w:t>
      </w:r>
      <w:r w:rsidR="00F43D14" w:rsidRPr="003204E2">
        <w:rPr>
          <w:lang w:val="fr-FR"/>
        </w:rPr>
        <w:t>de protestation contre une réunion Asie-Europe</w:t>
      </w:r>
      <w:r w:rsidR="000E5EE0" w:rsidRPr="003204E2">
        <w:rPr>
          <w:lang w:val="fr-FR"/>
        </w:rPr>
        <w:t>,</w:t>
      </w:r>
      <w:r w:rsidR="00F43D14" w:rsidRPr="003204E2">
        <w:rPr>
          <w:lang w:val="fr-FR"/>
        </w:rPr>
        <w:t xml:space="preserve"> dont </w:t>
      </w:r>
      <w:r w:rsidR="00D26532" w:rsidRPr="003204E2">
        <w:rPr>
          <w:lang w:val="fr-FR"/>
        </w:rPr>
        <w:t>la résonance au niveau national</w:t>
      </w:r>
      <w:r w:rsidR="00F43D14" w:rsidRPr="003204E2">
        <w:rPr>
          <w:lang w:val="fr-FR"/>
        </w:rPr>
        <w:t xml:space="preserve"> était exceptionnel</w:t>
      </w:r>
      <w:r w:rsidR="00042CA8" w:rsidRPr="003204E2">
        <w:rPr>
          <w:lang w:val="fr-FR"/>
        </w:rPr>
        <w:t>le</w:t>
      </w:r>
      <w:r w:rsidR="0046083C" w:rsidRPr="003204E2">
        <w:rPr>
          <w:lang w:val="fr-FR"/>
        </w:rPr>
        <w:t>.</w:t>
      </w:r>
    </w:p>
    <w:p w:rsidR="00ED4FF3" w:rsidRPr="003204E2" w:rsidRDefault="00ED4FF3"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61</w:t>
      </w:r>
      <w:r w:rsidRPr="003204E2">
        <w:rPr>
          <w:lang w:val="fr-FR"/>
        </w:rPr>
        <w:fldChar w:fldCharType="end"/>
      </w:r>
      <w:r w:rsidRPr="003204E2">
        <w:rPr>
          <w:lang w:val="fr-FR"/>
        </w:rPr>
        <w:t>.  En l</w:t>
      </w:r>
      <w:r w:rsidR="003204E2" w:rsidRPr="003204E2">
        <w:rPr>
          <w:lang w:val="fr-FR"/>
        </w:rPr>
        <w:t>’</w:t>
      </w:r>
      <w:r w:rsidRPr="003204E2">
        <w:rPr>
          <w:lang w:val="fr-FR"/>
        </w:rPr>
        <w:t>espèce, la Cour note qu</w:t>
      </w:r>
      <w:r w:rsidR="003204E2" w:rsidRPr="003204E2">
        <w:rPr>
          <w:lang w:val="fr-FR"/>
        </w:rPr>
        <w:t>’</w:t>
      </w:r>
      <w:r w:rsidRPr="003204E2">
        <w:rPr>
          <w:lang w:val="fr-FR"/>
        </w:rPr>
        <w:t>il n</w:t>
      </w:r>
      <w:r w:rsidR="003204E2" w:rsidRPr="003204E2">
        <w:rPr>
          <w:lang w:val="fr-FR"/>
        </w:rPr>
        <w:t>’</w:t>
      </w:r>
      <w:r w:rsidRPr="003204E2">
        <w:rPr>
          <w:lang w:val="fr-FR"/>
        </w:rPr>
        <w:t>a pas été interdit aux requérants de porter à la connaissance du public des faits divers. Leur condamnation s</w:t>
      </w:r>
      <w:r w:rsidR="003204E2" w:rsidRPr="003204E2">
        <w:rPr>
          <w:lang w:val="fr-FR"/>
        </w:rPr>
        <w:t>’</w:t>
      </w:r>
      <w:r w:rsidRPr="003204E2">
        <w:rPr>
          <w:lang w:val="fr-FR"/>
        </w:rPr>
        <w:t>est uniquement fondée sur la détention et l</w:t>
      </w:r>
      <w:r w:rsidR="003204E2" w:rsidRPr="003204E2">
        <w:rPr>
          <w:lang w:val="fr-FR"/>
        </w:rPr>
        <w:t>’</w:t>
      </w:r>
      <w:r w:rsidRPr="003204E2">
        <w:rPr>
          <w:lang w:val="fr-FR"/>
        </w:rPr>
        <w:t>utilisation d</w:t>
      </w:r>
      <w:r w:rsidR="003204E2" w:rsidRPr="003204E2">
        <w:rPr>
          <w:lang w:val="fr-FR"/>
        </w:rPr>
        <w:t>’</w:t>
      </w:r>
      <w:r w:rsidRPr="003204E2">
        <w:rPr>
          <w:lang w:val="fr-FR"/>
        </w:rPr>
        <w:t>appareils radiophoniques pour obtenir plus rapidement des informations à ce sujet en interceptant les communications entre les forces de police, de caractère confidentiel selon le droit interne. Ces limites de l</w:t>
      </w:r>
      <w:r w:rsidR="003204E2" w:rsidRPr="003204E2">
        <w:rPr>
          <w:lang w:val="fr-FR"/>
        </w:rPr>
        <w:t>’</w:t>
      </w:r>
      <w:r w:rsidRPr="003204E2">
        <w:rPr>
          <w:lang w:val="fr-FR"/>
        </w:rPr>
        <w:t>interdiction doivent fortement être prises en compte pour l</w:t>
      </w:r>
      <w:r w:rsidR="003204E2" w:rsidRPr="003204E2">
        <w:rPr>
          <w:lang w:val="fr-FR"/>
        </w:rPr>
        <w:t>’</w:t>
      </w:r>
      <w:r w:rsidRPr="003204E2">
        <w:rPr>
          <w:lang w:val="fr-FR"/>
        </w:rPr>
        <w:t>appréciation de la proportionnalité.</w:t>
      </w:r>
    </w:p>
    <w:p w:rsidR="00091746" w:rsidRPr="003204E2" w:rsidRDefault="00FC51E5"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62</w:t>
      </w:r>
      <w:r w:rsidRPr="003204E2">
        <w:rPr>
          <w:lang w:val="fr-FR"/>
        </w:rPr>
        <w:fldChar w:fldCharType="end"/>
      </w:r>
      <w:r w:rsidRPr="003204E2">
        <w:rPr>
          <w:lang w:val="fr-FR"/>
        </w:rPr>
        <w:t>.  Dans ce contexte, l</w:t>
      </w:r>
      <w:r w:rsidR="00E206EB" w:rsidRPr="003204E2">
        <w:rPr>
          <w:lang w:val="fr-FR"/>
        </w:rPr>
        <w:t>a Cour estime que l</w:t>
      </w:r>
      <w:r w:rsidR="00DF3574" w:rsidRPr="003204E2">
        <w:rPr>
          <w:lang w:val="fr-FR"/>
        </w:rPr>
        <w:t>es décisions de la cour d</w:t>
      </w:r>
      <w:r w:rsidR="003204E2" w:rsidRPr="003204E2">
        <w:rPr>
          <w:lang w:val="fr-FR"/>
        </w:rPr>
        <w:t>’</w:t>
      </w:r>
      <w:r w:rsidR="00DF3574" w:rsidRPr="003204E2">
        <w:rPr>
          <w:lang w:val="fr-FR"/>
        </w:rPr>
        <w:t>appel de Milan et de la Cour de cassation</w:t>
      </w:r>
      <w:r w:rsidRPr="003204E2">
        <w:rPr>
          <w:lang w:val="fr-FR"/>
        </w:rPr>
        <w:t xml:space="preserve"> </w:t>
      </w:r>
      <w:r w:rsidR="00E206EB" w:rsidRPr="003204E2">
        <w:rPr>
          <w:lang w:val="fr-FR"/>
        </w:rPr>
        <w:t>concluant au caractère confidentiel des communications échangées</w:t>
      </w:r>
      <w:r w:rsidR="007C0A66" w:rsidRPr="003204E2">
        <w:rPr>
          <w:lang w:val="fr-FR"/>
        </w:rPr>
        <w:t xml:space="preserve"> entre l</w:t>
      </w:r>
      <w:r w:rsidR="00E206EB" w:rsidRPr="003204E2">
        <w:rPr>
          <w:lang w:val="fr-FR"/>
        </w:rPr>
        <w:t>es opérateurs des forces de l</w:t>
      </w:r>
      <w:r w:rsidR="003204E2" w:rsidRPr="003204E2">
        <w:rPr>
          <w:lang w:val="fr-FR"/>
        </w:rPr>
        <w:t>’</w:t>
      </w:r>
      <w:r w:rsidR="00E206EB" w:rsidRPr="003204E2">
        <w:rPr>
          <w:lang w:val="fr-FR"/>
        </w:rPr>
        <w:t xml:space="preserve">ordre et, par conséquent, à la qualification criminelle des actes accomplis par les requérants, </w:t>
      </w:r>
      <w:r w:rsidR="006B6854" w:rsidRPr="003204E2">
        <w:rPr>
          <w:lang w:val="fr-FR"/>
        </w:rPr>
        <w:t>ont été dûment motivées</w:t>
      </w:r>
      <w:r w:rsidR="00E206EB" w:rsidRPr="003204E2">
        <w:rPr>
          <w:lang w:val="fr-FR"/>
        </w:rPr>
        <w:t xml:space="preserve">. Ces décisions, </w:t>
      </w:r>
      <w:r w:rsidR="00091746" w:rsidRPr="003204E2">
        <w:rPr>
          <w:lang w:val="fr-FR"/>
        </w:rPr>
        <w:t>reposant</w:t>
      </w:r>
      <w:r w:rsidR="00E206EB" w:rsidRPr="003204E2">
        <w:rPr>
          <w:lang w:val="fr-FR"/>
        </w:rPr>
        <w:t xml:space="preserve"> sur une jurisprudence constante de la Cour de cassation</w:t>
      </w:r>
      <w:r w:rsidR="007C0A66" w:rsidRPr="003204E2">
        <w:rPr>
          <w:lang w:val="fr-FR"/>
        </w:rPr>
        <w:t>,</w:t>
      </w:r>
      <w:r w:rsidR="00E206EB" w:rsidRPr="003204E2">
        <w:rPr>
          <w:lang w:val="fr-FR"/>
        </w:rPr>
        <w:t xml:space="preserve"> ont accordé une place primordiale à la défense de la sécurité nationa</w:t>
      </w:r>
      <w:r w:rsidR="00091746" w:rsidRPr="003204E2">
        <w:rPr>
          <w:lang w:val="fr-FR"/>
        </w:rPr>
        <w:t>le</w:t>
      </w:r>
      <w:r w:rsidR="00F73DA8" w:rsidRPr="003204E2">
        <w:rPr>
          <w:lang w:val="fr-FR"/>
        </w:rPr>
        <w:t>, à la défense de l</w:t>
      </w:r>
      <w:r w:rsidR="003204E2" w:rsidRPr="003204E2">
        <w:rPr>
          <w:lang w:val="fr-FR"/>
        </w:rPr>
        <w:t>’</w:t>
      </w:r>
      <w:r w:rsidR="00F73DA8" w:rsidRPr="003204E2">
        <w:rPr>
          <w:lang w:val="fr-FR"/>
        </w:rPr>
        <w:t>ordre</w:t>
      </w:r>
      <w:r w:rsidR="00091746" w:rsidRPr="003204E2">
        <w:rPr>
          <w:lang w:val="fr-FR"/>
        </w:rPr>
        <w:t xml:space="preserve"> et à la prévention du crime.</w:t>
      </w:r>
    </w:p>
    <w:p w:rsidR="00083280" w:rsidRPr="003204E2" w:rsidRDefault="00853C43"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63</w:t>
      </w:r>
      <w:r w:rsidRPr="003204E2">
        <w:rPr>
          <w:lang w:val="fr-FR"/>
        </w:rPr>
        <w:fldChar w:fldCharType="end"/>
      </w:r>
      <w:r w:rsidRPr="003204E2">
        <w:rPr>
          <w:lang w:val="fr-FR"/>
        </w:rPr>
        <w:t>.  </w:t>
      </w:r>
      <w:r w:rsidR="00083280" w:rsidRPr="003204E2">
        <w:rPr>
          <w:lang w:val="fr-FR"/>
        </w:rPr>
        <w:t>La Cour note ensuite que, d</w:t>
      </w:r>
      <w:r w:rsidR="003204E2" w:rsidRPr="003204E2">
        <w:rPr>
          <w:lang w:val="fr-FR"/>
        </w:rPr>
        <w:t>’</w:t>
      </w:r>
      <w:r w:rsidR="00083280" w:rsidRPr="003204E2">
        <w:rPr>
          <w:lang w:val="fr-FR"/>
        </w:rPr>
        <w:t>après sa jurisprudence</w:t>
      </w:r>
      <w:r w:rsidR="004D0F01" w:rsidRPr="003204E2">
        <w:rPr>
          <w:lang w:val="fr-FR"/>
        </w:rPr>
        <w:t xml:space="preserve"> (</w:t>
      </w:r>
      <w:r w:rsidR="004D0F01" w:rsidRPr="003204E2">
        <w:rPr>
          <w:i/>
          <w:lang w:val="fr-FR"/>
        </w:rPr>
        <w:t>Stoll</w:t>
      </w:r>
      <w:r w:rsidR="004D0F01" w:rsidRPr="003204E2">
        <w:rPr>
          <w:lang w:val="fr-FR"/>
        </w:rPr>
        <w:t xml:space="preserve">, précité, § 153 et </w:t>
      </w:r>
      <w:r w:rsidR="004D0F01" w:rsidRPr="003204E2">
        <w:rPr>
          <w:i/>
          <w:lang w:val="fr-FR"/>
        </w:rPr>
        <w:t>Pentikäinen</w:t>
      </w:r>
      <w:r w:rsidR="004D0F01" w:rsidRPr="003204E2">
        <w:rPr>
          <w:lang w:val="fr-FR"/>
        </w:rPr>
        <w:t>,</w:t>
      </w:r>
      <w:r w:rsidR="004D0F01" w:rsidRPr="003204E2">
        <w:rPr>
          <w:i/>
          <w:lang w:val="fr-FR"/>
        </w:rPr>
        <w:t xml:space="preserve"> </w:t>
      </w:r>
      <w:r w:rsidR="004D0F01" w:rsidRPr="003204E2">
        <w:rPr>
          <w:lang w:val="fr-FR"/>
        </w:rPr>
        <w:t>précité, §§ 112 et 113)</w:t>
      </w:r>
      <w:r w:rsidR="00083280" w:rsidRPr="003204E2">
        <w:rPr>
          <w:lang w:val="fr-FR"/>
        </w:rPr>
        <w:t xml:space="preserve">, </w:t>
      </w:r>
      <w:r w:rsidR="00BB032D" w:rsidRPr="003204E2">
        <w:rPr>
          <w:lang w:val="fr-FR"/>
        </w:rPr>
        <w:t xml:space="preserve">la gravité </w:t>
      </w:r>
      <w:r w:rsidR="00083280" w:rsidRPr="003204E2">
        <w:rPr>
          <w:lang w:val="fr-FR"/>
        </w:rPr>
        <w:t>de la sanction imposée</w:t>
      </w:r>
      <w:r w:rsidR="00BB032D" w:rsidRPr="003204E2">
        <w:rPr>
          <w:lang w:val="fr-FR"/>
        </w:rPr>
        <w:t xml:space="preserve"> aux requérants</w:t>
      </w:r>
      <w:r w:rsidR="00720DCD" w:rsidRPr="003204E2">
        <w:rPr>
          <w:lang w:val="fr-FR"/>
        </w:rPr>
        <w:t xml:space="preserve"> est </w:t>
      </w:r>
      <w:r w:rsidR="00F84D92" w:rsidRPr="003204E2">
        <w:rPr>
          <w:lang w:val="fr-FR"/>
        </w:rPr>
        <w:t xml:space="preserve">aussi </w:t>
      </w:r>
      <w:r w:rsidR="00720DCD" w:rsidRPr="003204E2">
        <w:rPr>
          <w:lang w:val="fr-FR"/>
        </w:rPr>
        <w:t>u</w:t>
      </w:r>
      <w:r w:rsidR="00083280" w:rsidRPr="003204E2">
        <w:rPr>
          <w:lang w:val="fr-FR"/>
        </w:rPr>
        <w:t>n élément à prendre en compte dans l</w:t>
      </w:r>
      <w:r w:rsidR="003204E2" w:rsidRPr="003204E2">
        <w:rPr>
          <w:lang w:val="fr-FR"/>
        </w:rPr>
        <w:t>’</w:t>
      </w:r>
      <w:r w:rsidR="00083280" w:rsidRPr="003204E2">
        <w:rPr>
          <w:lang w:val="fr-FR"/>
        </w:rPr>
        <w:t>évaluation de la proportionnalité de l</w:t>
      </w:r>
      <w:r w:rsidR="003204E2" w:rsidRPr="003204E2">
        <w:rPr>
          <w:lang w:val="fr-FR"/>
        </w:rPr>
        <w:t>’</w:t>
      </w:r>
      <w:r w:rsidR="00083280" w:rsidRPr="003204E2">
        <w:rPr>
          <w:lang w:val="fr-FR"/>
        </w:rPr>
        <w:t xml:space="preserve">ingérence </w:t>
      </w:r>
      <w:r w:rsidR="005B4DC5" w:rsidRPr="003204E2">
        <w:rPr>
          <w:lang w:val="fr-FR"/>
        </w:rPr>
        <w:t>litigieuse</w:t>
      </w:r>
      <w:r w:rsidR="00083280" w:rsidRPr="003204E2">
        <w:rPr>
          <w:lang w:val="fr-FR"/>
        </w:rPr>
        <w:t xml:space="preserve">. Dans </w:t>
      </w:r>
      <w:r w:rsidR="00874D57" w:rsidRPr="003204E2">
        <w:rPr>
          <w:lang w:val="fr-FR"/>
        </w:rPr>
        <w:t>la présente affaire</w:t>
      </w:r>
      <w:r w:rsidR="00083280" w:rsidRPr="003204E2">
        <w:rPr>
          <w:lang w:val="fr-FR"/>
        </w:rPr>
        <w:t xml:space="preserve">, cette sanction a consisté en </w:t>
      </w:r>
      <w:r w:rsidR="00BB032D" w:rsidRPr="003204E2">
        <w:rPr>
          <w:lang w:val="fr-FR"/>
        </w:rPr>
        <w:t xml:space="preserve">la condamnation à une peine de détention </w:t>
      </w:r>
      <w:r w:rsidR="00083280" w:rsidRPr="003204E2">
        <w:rPr>
          <w:lang w:val="fr-FR"/>
        </w:rPr>
        <w:t>de un an et trois mois pour le premier et deuxième requérant</w:t>
      </w:r>
      <w:r w:rsidR="00F84D92" w:rsidRPr="003204E2">
        <w:rPr>
          <w:lang w:val="fr-FR"/>
        </w:rPr>
        <w:t>s et de six mois</w:t>
      </w:r>
      <w:r w:rsidR="00083280" w:rsidRPr="003204E2">
        <w:rPr>
          <w:lang w:val="fr-FR"/>
        </w:rPr>
        <w:t xml:space="preserve"> quant au troisième</w:t>
      </w:r>
      <w:r w:rsidR="00C147D6" w:rsidRPr="003204E2">
        <w:rPr>
          <w:lang w:val="fr-FR"/>
        </w:rPr>
        <w:t>,</w:t>
      </w:r>
      <w:r w:rsidR="00B05920" w:rsidRPr="003204E2">
        <w:rPr>
          <w:lang w:val="fr-FR"/>
        </w:rPr>
        <w:t xml:space="preserve"> ainsi qu</w:t>
      </w:r>
      <w:r w:rsidR="003204E2" w:rsidRPr="003204E2">
        <w:rPr>
          <w:lang w:val="fr-FR"/>
        </w:rPr>
        <w:t>’</w:t>
      </w:r>
      <w:r w:rsidR="00B05920" w:rsidRPr="003204E2">
        <w:rPr>
          <w:lang w:val="fr-FR"/>
        </w:rPr>
        <w:t xml:space="preserve">en la </w:t>
      </w:r>
      <w:r w:rsidR="005B4DC5" w:rsidRPr="003204E2">
        <w:rPr>
          <w:lang w:val="fr-FR"/>
        </w:rPr>
        <w:t>saisie des appareils-</w:t>
      </w:r>
      <w:r w:rsidR="00B05920" w:rsidRPr="003204E2">
        <w:rPr>
          <w:lang w:val="fr-FR"/>
        </w:rPr>
        <w:t>radio</w:t>
      </w:r>
      <w:r w:rsidR="00083280" w:rsidRPr="003204E2">
        <w:rPr>
          <w:lang w:val="fr-FR"/>
        </w:rPr>
        <w:t>.</w:t>
      </w:r>
    </w:p>
    <w:p w:rsidR="00FE0E0A" w:rsidRPr="003204E2" w:rsidRDefault="00083280" w:rsidP="003204E2">
      <w:pPr>
        <w:pStyle w:val="ECHRPara"/>
        <w:rPr>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64</w:t>
      </w:r>
      <w:r w:rsidRPr="003204E2">
        <w:rPr>
          <w:lang w:val="fr-FR"/>
        </w:rPr>
        <w:fldChar w:fldCharType="end"/>
      </w:r>
      <w:r w:rsidRPr="003204E2">
        <w:rPr>
          <w:lang w:val="fr-FR"/>
        </w:rPr>
        <w:t xml:space="preserve">.  La Cour </w:t>
      </w:r>
      <w:r w:rsidR="00720DCD" w:rsidRPr="003204E2">
        <w:rPr>
          <w:lang w:val="fr-FR"/>
        </w:rPr>
        <w:t xml:space="preserve">rappelle que </w:t>
      </w:r>
      <w:r w:rsidR="00D30574" w:rsidRPr="003204E2">
        <w:rPr>
          <w:lang w:val="fr-FR"/>
        </w:rPr>
        <w:t>la notion de journalisme responsable implique que</w:t>
      </w:r>
      <w:r w:rsidR="00B05920" w:rsidRPr="003204E2">
        <w:rPr>
          <w:lang w:val="fr-FR"/>
        </w:rPr>
        <w:t>,</w:t>
      </w:r>
      <w:r w:rsidR="00D30574" w:rsidRPr="003204E2">
        <w:rPr>
          <w:lang w:val="fr-FR"/>
        </w:rPr>
        <w:t xml:space="preserve"> dès lors que le comportement d</w:t>
      </w:r>
      <w:r w:rsidR="003204E2" w:rsidRPr="003204E2">
        <w:rPr>
          <w:lang w:val="fr-FR"/>
        </w:rPr>
        <w:t>’</w:t>
      </w:r>
      <w:r w:rsidR="00D30574" w:rsidRPr="003204E2">
        <w:rPr>
          <w:lang w:val="fr-FR"/>
        </w:rPr>
        <w:t>un journaliste va à l</w:t>
      </w:r>
      <w:r w:rsidR="003204E2" w:rsidRPr="003204E2">
        <w:rPr>
          <w:lang w:val="fr-FR"/>
        </w:rPr>
        <w:t>’</w:t>
      </w:r>
      <w:r w:rsidR="00D30574" w:rsidRPr="003204E2">
        <w:rPr>
          <w:lang w:val="fr-FR"/>
        </w:rPr>
        <w:t xml:space="preserve">encontre du devoir de </w:t>
      </w:r>
      <w:r w:rsidR="00D30574" w:rsidRPr="003204E2">
        <w:rPr>
          <w:lang w:val="fr-FR"/>
        </w:rPr>
        <w:lastRenderedPageBreak/>
        <w:t xml:space="preserve">respecter les lois pénales de droit commun, </w:t>
      </w:r>
      <w:r w:rsidR="00896133" w:rsidRPr="003204E2">
        <w:rPr>
          <w:lang w:val="fr-FR"/>
        </w:rPr>
        <w:t>celui-ci</w:t>
      </w:r>
      <w:r w:rsidR="00D30574" w:rsidRPr="003204E2">
        <w:rPr>
          <w:lang w:val="fr-FR"/>
        </w:rPr>
        <w:t xml:space="preserve"> doit savoir qu</w:t>
      </w:r>
      <w:r w:rsidR="003204E2" w:rsidRPr="003204E2">
        <w:rPr>
          <w:lang w:val="fr-FR"/>
        </w:rPr>
        <w:t>’</w:t>
      </w:r>
      <w:r w:rsidR="00D30574" w:rsidRPr="003204E2">
        <w:rPr>
          <w:lang w:val="fr-FR"/>
        </w:rPr>
        <w:t>il s</w:t>
      </w:r>
      <w:r w:rsidR="003204E2" w:rsidRPr="003204E2">
        <w:rPr>
          <w:lang w:val="fr-FR"/>
        </w:rPr>
        <w:t>’</w:t>
      </w:r>
      <w:r w:rsidR="00D30574" w:rsidRPr="003204E2">
        <w:rPr>
          <w:lang w:val="fr-FR"/>
        </w:rPr>
        <w:t>expose à des sanctions juridiques, notamment pénales (</w:t>
      </w:r>
      <w:r w:rsidR="00D30574" w:rsidRPr="003204E2">
        <w:rPr>
          <w:i/>
          <w:lang w:val="fr-FR"/>
        </w:rPr>
        <w:t>Pentikäinen</w:t>
      </w:r>
      <w:r w:rsidR="00D30574" w:rsidRPr="003204E2">
        <w:rPr>
          <w:lang w:val="fr-FR"/>
        </w:rPr>
        <w:t>,</w:t>
      </w:r>
      <w:r w:rsidR="00D30574" w:rsidRPr="003204E2">
        <w:rPr>
          <w:i/>
          <w:lang w:val="fr-FR"/>
        </w:rPr>
        <w:t xml:space="preserve"> </w:t>
      </w:r>
      <w:r w:rsidR="00D30574" w:rsidRPr="003204E2">
        <w:rPr>
          <w:lang w:val="fr-FR"/>
        </w:rPr>
        <w:t>précité, § 110)</w:t>
      </w:r>
      <w:r w:rsidR="00FE0E0A" w:rsidRPr="003204E2">
        <w:rPr>
          <w:lang w:val="fr-FR"/>
        </w:rPr>
        <w:t>.</w:t>
      </w:r>
    </w:p>
    <w:p w:rsidR="001A643B" w:rsidRPr="003204E2" w:rsidRDefault="00FE0E0A" w:rsidP="003204E2">
      <w:pPr>
        <w:pStyle w:val="ECHRPara"/>
        <w:rPr>
          <w:szCs w:val="24"/>
          <w:lang w:val="fr-FR"/>
        </w:rPr>
      </w:pPr>
      <w:r w:rsidRPr="003204E2">
        <w:rPr>
          <w:lang w:val="fr-FR"/>
        </w:rPr>
        <w:fldChar w:fldCharType="begin"/>
      </w:r>
      <w:r w:rsidRPr="003204E2">
        <w:rPr>
          <w:lang w:val="fr-FR"/>
        </w:rPr>
        <w:instrText xml:space="preserve"> SEQ level0 \*arabic </w:instrText>
      </w:r>
      <w:r w:rsidRPr="003204E2">
        <w:rPr>
          <w:lang w:val="fr-FR"/>
        </w:rPr>
        <w:fldChar w:fldCharType="separate"/>
      </w:r>
      <w:r w:rsidR="003204E2" w:rsidRPr="003204E2">
        <w:rPr>
          <w:noProof/>
          <w:lang w:val="fr-FR"/>
        </w:rPr>
        <w:t>65</w:t>
      </w:r>
      <w:r w:rsidRPr="003204E2">
        <w:rPr>
          <w:lang w:val="fr-FR"/>
        </w:rPr>
        <w:fldChar w:fldCharType="end"/>
      </w:r>
      <w:r w:rsidRPr="003204E2">
        <w:rPr>
          <w:lang w:val="fr-FR"/>
        </w:rPr>
        <w:t>.  </w:t>
      </w:r>
      <w:r w:rsidR="00D30574" w:rsidRPr="003204E2">
        <w:rPr>
          <w:lang w:val="fr-FR"/>
        </w:rPr>
        <w:t>En l</w:t>
      </w:r>
      <w:r w:rsidR="003204E2" w:rsidRPr="003204E2">
        <w:rPr>
          <w:lang w:val="fr-FR"/>
        </w:rPr>
        <w:t>’</w:t>
      </w:r>
      <w:r w:rsidR="00D30574" w:rsidRPr="003204E2">
        <w:rPr>
          <w:lang w:val="fr-FR"/>
        </w:rPr>
        <w:t>espèce, d</w:t>
      </w:r>
      <w:r w:rsidR="00B56484" w:rsidRPr="003204E2">
        <w:rPr>
          <w:lang w:val="fr-FR"/>
        </w:rPr>
        <w:t>ans le but d</w:t>
      </w:r>
      <w:r w:rsidR="003204E2" w:rsidRPr="003204E2">
        <w:rPr>
          <w:lang w:val="fr-FR"/>
        </w:rPr>
        <w:t>’</w:t>
      </w:r>
      <w:r w:rsidR="00B56484" w:rsidRPr="003204E2">
        <w:rPr>
          <w:lang w:val="fr-FR"/>
        </w:rPr>
        <w:t>obtenir d</w:t>
      </w:r>
      <w:r w:rsidR="003204E2" w:rsidRPr="003204E2">
        <w:rPr>
          <w:lang w:val="fr-FR"/>
        </w:rPr>
        <w:t>’</w:t>
      </w:r>
      <w:r w:rsidR="00B56484" w:rsidRPr="003204E2">
        <w:rPr>
          <w:lang w:val="fr-FR"/>
        </w:rPr>
        <w:t>informations susceptibles d</w:t>
      </w:r>
      <w:r w:rsidR="003204E2" w:rsidRPr="003204E2">
        <w:rPr>
          <w:lang w:val="fr-FR"/>
        </w:rPr>
        <w:t>’</w:t>
      </w:r>
      <w:r w:rsidR="00B56484" w:rsidRPr="003204E2">
        <w:rPr>
          <w:lang w:val="fr-FR"/>
        </w:rPr>
        <w:t xml:space="preserve">être publiées sur </w:t>
      </w:r>
      <w:r w:rsidR="005B4DC5" w:rsidRPr="003204E2">
        <w:rPr>
          <w:lang w:val="fr-FR"/>
        </w:rPr>
        <w:t>un</w:t>
      </w:r>
      <w:r w:rsidR="00B56484" w:rsidRPr="003204E2">
        <w:rPr>
          <w:lang w:val="fr-FR"/>
        </w:rPr>
        <w:t xml:space="preserve"> journal local, les requérants</w:t>
      </w:r>
      <w:r w:rsidR="00083280" w:rsidRPr="003204E2">
        <w:rPr>
          <w:lang w:val="fr-FR"/>
        </w:rPr>
        <w:t xml:space="preserve"> </w:t>
      </w:r>
      <w:r w:rsidR="0011116C" w:rsidRPr="003204E2">
        <w:rPr>
          <w:lang w:val="fr-FR"/>
        </w:rPr>
        <w:t xml:space="preserve">ont </w:t>
      </w:r>
      <w:r w:rsidR="002D3923" w:rsidRPr="003204E2">
        <w:rPr>
          <w:lang w:val="fr-FR"/>
        </w:rPr>
        <w:t>tenu</w:t>
      </w:r>
      <w:r w:rsidR="00083280" w:rsidRPr="003204E2">
        <w:rPr>
          <w:lang w:val="fr-FR"/>
        </w:rPr>
        <w:t xml:space="preserve"> un comportement</w:t>
      </w:r>
      <w:r w:rsidR="002D3923" w:rsidRPr="003204E2">
        <w:rPr>
          <w:lang w:val="fr-FR"/>
        </w:rPr>
        <w:t xml:space="preserve"> qui, </w:t>
      </w:r>
      <w:r w:rsidR="002D3923" w:rsidRPr="003204E2">
        <w:rPr>
          <w:szCs w:val="24"/>
          <w:lang w:val="fr-FR"/>
        </w:rPr>
        <w:t>d</w:t>
      </w:r>
      <w:r w:rsidR="003204E2" w:rsidRPr="003204E2">
        <w:rPr>
          <w:szCs w:val="24"/>
          <w:lang w:val="fr-FR"/>
        </w:rPr>
        <w:t>’</w:t>
      </w:r>
      <w:r w:rsidR="002D3923" w:rsidRPr="003204E2">
        <w:rPr>
          <w:szCs w:val="24"/>
          <w:lang w:val="fr-FR"/>
        </w:rPr>
        <w:t>après l</w:t>
      </w:r>
      <w:r w:rsidR="00B05920" w:rsidRPr="003204E2">
        <w:rPr>
          <w:szCs w:val="24"/>
          <w:lang w:val="fr-FR"/>
        </w:rPr>
        <w:t xml:space="preserve">e droit interne et </w:t>
      </w:r>
      <w:r w:rsidR="005B4DC5" w:rsidRPr="003204E2">
        <w:rPr>
          <w:szCs w:val="24"/>
          <w:lang w:val="fr-FR"/>
        </w:rPr>
        <w:t>l</w:t>
      </w:r>
      <w:r w:rsidR="003204E2" w:rsidRPr="003204E2">
        <w:rPr>
          <w:szCs w:val="24"/>
          <w:lang w:val="fr-FR"/>
        </w:rPr>
        <w:t>’</w:t>
      </w:r>
      <w:r w:rsidR="00B05920" w:rsidRPr="003204E2">
        <w:rPr>
          <w:szCs w:val="24"/>
          <w:lang w:val="fr-FR"/>
        </w:rPr>
        <w:t xml:space="preserve">interprétation </w:t>
      </w:r>
      <w:r w:rsidR="002D3923" w:rsidRPr="003204E2">
        <w:rPr>
          <w:szCs w:val="24"/>
          <w:lang w:val="fr-FR"/>
        </w:rPr>
        <w:t xml:space="preserve">constante </w:t>
      </w:r>
      <w:r w:rsidR="005B4DC5" w:rsidRPr="003204E2">
        <w:rPr>
          <w:szCs w:val="24"/>
          <w:lang w:val="fr-FR"/>
        </w:rPr>
        <w:t xml:space="preserve">de </w:t>
      </w:r>
      <w:r w:rsidR="002D3923" w:rsidRPr="003204E2">
        <w:rPr>
          <w:szCs w:val="24"/>
          <w:lang w:val="fr-FR"/>
        </w:rPr>
        <w:t xml:space="preserve">la Cour de cassation, allait </w:t>
      </w:r>
      <w:r w:rsidR="002D3923" w:rsidRPr="003204E2">
        <w:rPr>
          <w:lang w:val="fr-FR"/>
        </w:rPr>
        <w:t>à l</w:t>
      </w:r>
      <w:r w:rsidR="003204E2" w:rsidRPr="003204E2">
        <w:rPr>
          <w:lang w:val="fr-FR"/>
        </w:rPr>
        <w:t>’</w:t>
      </w:r>
      <w:r w:rsidR="002D3923" w:rsidRPr="003204E2">
        <w:rPr>
          <w:lang w:val="fr-FR"/>
        </w:rPr>
        <w:t>encontre de la loi pénale</w:t>
      </w:r>
      <w:r w:rsidR="00350CC7" w:rsidRPr="003204E2">
        <w:rPr>
          <w:lang w:val="fr-FR"/>
        </w:rPr>
        <w:t>, qui interdit, de manière générale, l</w:t>
      </w:r>
      <w:r w:rsidR="003204E2" w:rsidRPr="003204E2">
        <w:rPr>
          <w:lang w:val="fr-FR"/>
        </w:rPr>
        <w:t>’</w:t>
      </w:r>
      <w:r w:rsidR="00350CC7" w:rsidRPr="003204E2">
        <w:rPr>
          <w:lang w:val="fr-FR"/>
        </w:rPr>
        <w:t>interception par une personne de toute conversation qui ne lui est pas adressée, dont celle des forces de police</w:t>
      </w:r>
      <w:r w:rsidR="002D3923" w:rsidRPr="003204E2">
        <w:rPr>
          <w:lang w:val="fr-FR"/>
        </w:rPr>
        <w:t xml:space="preserve">. </w:t>
      </w:r>
      <w:r w:rsidR="0011116C" w:rsidRPr="003204E2">
        <w:rPr>
          <w:szCs w:val="24"/>
          <w:lang w:val="fr-FR"/>
        </w:rPr>
        <w:t>Les actes des requérants consistaient par ailleurs en une technique utilis</w:t>
      </w:r>
      <w:r w:rsidR="002D3923" w:rsidRPr="003204E2">
        <w:rPr>
          <w:szCs w:val="24"/>
          <w:lang w:val="fr-FR"/>
        </w:rPr>
        <w:t>ée</w:t>
      </w:r>
      <w:r w:rsidR="0011116C" w:rsidRPr="003204E2">
        <w:rPr>
          <w:szCs w:val="24"/>
          <w:lang w:val="fr-FR"/>
        </w:rPr>
        <w:t xml:space="preserve"> couramment dans l</w:t>
      </w:r>
      <w:r w:rsidR="003204E2" w:rsidRPr="003204E2">
        <w:rPr>
          <w:szCs w:val="24"/>
          <w:lang w:val="fr-FR"/>
        </w:rPr>
        <w:t>’</w:t>
      </w:r>
      <w:r w:rsidR="0011116C" w:rsidRPr="003204E2">
        <w:rPr>
          <w:szCs w:val="24"/>
          <w:lang w:val="fr-FR"/>
        </w:rPr>
        <w:t>exercice de leur activité</w:t>
      </w:r>
      <w:r w:rsidR="004A4DBC" w:rsidRPr="003204E2">
        <w:rPr>
          <w:szCs w:val="24"/>
          <w:lang w:val="fr-FR"/>
        </w:rPr>
        <w:t xml:space="preserve"> </w:t>
      </w:r>
      <w:r w:rsidR="002D3923" w:rsidRPr="003204E2">
        <w:rPr>
          <w:szCs w:val="24"/>
          <w:lang w:val="fr-FR"/>
        </w:rPr>
        <w:t xml:space="preserve">de journalistes </w:t>
      </w:r>
      <w:r w:rsidR="004A4DBC" w:rsidRPr="003204E2">
        <w:rPr>
          <w:szCs w:val="24"/>
          <w:lang w:val="fr-FR"/>
        </w:rPr>
        <w:t>(</w:t>
      </w:r>
      <w:r w:rsidR="00950B10" w:rsidRPr="003204E2">
        <w:rPr>
          <w:szCs w:val="24"/>
          <w:lang w:val="fr-FR"/>
        </w:rPr>
        <w:t>voir le paragraphe 7 ci-dessus)</w:t>
      </w:r>
      <w:r w:rsidR="0011116C" w:rsidRPr="003204E2">
        <w:rPr>
          <w:szCs w:val="24"/>
          <w:lang w:val="fr-FR"/>
        </w:rPr>
        <w:t>.</w:t>
      </w:r>
    </w:p>
    <w:p w:rsidR="001A643B" w:rsidRPr="003204E2" w:rsidRDefault="001A643B" w:rsidP="003204E2">
      <w:pPr>
        <w:pStyle w:val="ECHRPara"/>
        <w:rPr>
          <w:rStyle w:val="hps"/>
          <w:lang w:val="fr-FR"/>
        </w:rPr>
      </w:pPr>
      <w:r w:rsidRPr="003204E2">
        <w:rPr>
          <w:szCs w:val="24"/>
          <w:lang w:val="fr-FR"/>
        </w:rPr>
        <w:fldChar w:fldCharType="begin"/>
      </w:r>
      <w:r w:rsidRPr="003204E2">
        <w:rPr>
          <w:szCs w:val="24"/>
          <w:lang w:val="fr-FR"/>
        </w:rPr>
        <w:instrText xml:space="preserve"> SEQ level0 \*arabic </w:instrText>
      </w:r>
      <w:r w:rsidRPr="003204E2">
        <w:rPr>
          <w:szCs w:val="24"/>
          <w:lang w:val="fr-FR"/>
        </w:rPr>
        <w:fldChar w:fldCharType="separate"/>
      </w:r>
      <w:r w:rsidR="003204E2" w:rsidRPr="003204E2">
        <w:rPr>
          <w:noProof/>
          <w:szCs w:val="24"/>
          <w:lang w:val="fr-FR"/>
        </w:rPr>
        <w:t>66</w:t>
      </w:r>
      <w:r w:rsidRPr="003204E2">
        <w:rPr>
          <w:szCs w:val="24"/>
          <w:lang w:val="fr-FR"/>
        </w:rPr>
        <w:fldChar w:fldCharType="end"/>
      </w:r>
      <w:r w:rsidRPr="003204E2">
        <w:rPr>
          <w:szCs w:val="24"/>
          <w:lang w:val="fr-FR"/>
        </w:rPr>
        <w:t>.  </w:t>
      </w:r>
      <w:r w:rsidR="00B56484" w:rsidRPr="003204E2">
        <w:rPr>
          <w:lang w:val="fr-FR"/>
        </w:rPr>
        <w:t xml:space="preserve">La Cour relève </w:t>
      </w:r>
      <w:r w:rsidR="00571DC6" w:rsidRPr="003204E2">
        <w:rPr>
          <w:lang w:val="fr-FR"/>
        </w:rPr>
        <w:t>enfin</w:t>
      </w:r>
      <w:r w:rsidR="00287773" w:rsidRPr="003204E2">
        <w:rPr>
          <w:lang w:val="fr-FR"/>
        </w:rPr>
        <w:t xml:space="preserve"> </w:t>
      </w:r>
      <w:r w:rsidR="00B56484" w:rsidRPr="003204E2">
        <w:rPr>
          <w:lang w:val="fr-FR"/>
        </w:rPr>
        <w:t xml:space="preserve">que, dans son arrêt du </w:t>
      </w:r>
      <w:r w:rsidR="00B56484" w:rsidRPr="003204E2">
        <w:rPr>
          <w:rStyle w:val="hps"/>
          <w:lang w:val="fr-FR"/>
        </w:rPr>
        <w:t>15 mai 2007, la cour d</w:t>
      </w:r>
      <w:r w:rsidR="003204E2" w:rsidRPr="003204E2">
        <w:rPr>
          <w:rStyle w:val="hps"/>
          <w:lang w:val="fr-FR"/>
        </w:rPr>
        <w:t>’</w:t>
      </w:r>
      <w:r w:rsidR="00B56484" w:rsidRPr="003204E2">
        <w:rPr>
          <w:rStyle w:val="hps"/>
          <w:lang w:val="fr-FR"/>
        </w:rPr>
        <w:t>appel de Milan a accordé aux requérants la suspension de leurs peines</w:t>
      </w:r>
      <w:r w:rsidR="00E649B7" w:rsidRPr="003204E2">
        <w:rPr>
          <w:rStyle w:val="hps"/>
          <w:lang w:val="fr-FR"/>
        </w:rPr>
        <w:t xml:space="preserve"> et qu</w:t>
      </w:r>
      <w:r w:rsidR="003204E2" w:rsidRPr="003204E2">
        <w:rPr>
          <w:rStyle w:val="hps"/>
          <w:lang w:val="fr-FR"/>
        </w:rPr>
        <w:t>’</w:t>
      </w:r>
      <w:r w:rsidR="00E649B7" w:rsidRPr="003204E2">
        <w:rPr>
          <w:rStyle w:val="hps"/>
          <w:lang w:val="fr-FR"/>
        </w:rPr>
        <w:t xml:space="preserve">il </w:t>
      </w:r>
      <w:r w:rsidR="001043EC" w:rsidRPr="003204E2">
        <w:rPr>
          <w:rStyle w:val="hps"/>
          <w:lang w:val="fr-FR"/>
        </w:rPr>
        <w:t>n</w:t>
      </w:r>
      <w:r w:rsidR="003204E2" w:rsidRPr="003204E2">
        <w:rPr>
          <w:rStyle w:val="hps"/>
          <w:lang w:val="fr-FR"/>
        </w:rPr>
        <w:t>’</w:t>
      </w:r>
      <w:r w:rsidR="001043EC" w:rsidRPr="003204E2">
        <w:rPr>
          <w:rStyle w:val="hps"/>
          <w:lang w:val="fr-FR"/>
        </w:rPr>
        <w:t>y pas d</w:t>
      </w:r>
      <w:r w:rsidR="003204E2" w:rsidRPr="003204E2">
        <w:rPr>
          <w:rStyle w:val="hps"/>
          <w:lang w:val="fr-FR"/>
        </w:rPr>
        <w:t>’</w:t>
      </w:r>
      <w:r w:rsidR="001043EC" w:rsidRPr="003204E2">
        <w:rPr>
          <w:rStyle w:val="hps"/>
          <w:lang w:val="fr-FR"/>
        </w:rPr>
        <w:t xml:space="preserve">éléments dans le dossier attestant que les requérants </w:t>
      </w:r>
      <w:r w:rsidR="00F07043" w:rsidRPr="003204E2">
        <w:rPr>
          <w:rStyle w:val="hps"/>
          <w:lang w:val="fr-FR"/>
        </w:rPr>
        <w:t>avaient</w:t>
      </w:r>
      <w:r w:rsidR="001043EC" w:rsidRPr="003204E2">
        <w:rPr>
          <w:rStyle w:val="hps"/>
          <w:lang w:val="fr-FR"/>
        </w:rPr>
        <w:t xml:space="preserve"> purgé leurs</w:t>
      </w:r>
      <w:r w:rsidR="00287773" w:rsidRPr="003204E2">
        <w:rPr>
          <w:rStyle w:val="hps"/>
          <w:lang w:val="fr-FR"/>
        </w:rPr>
        <w:t xml:space="preserve"> peines de détention.</w:t>
      </w:r>
      <w:r w:rsidR="00896133" w:rsidRPr="003204E2">
        <w:rPr>
          <w:rStyle w:val="hps"/>
          <w:lang w:val="fr-FR"/>
        </w:rPr>
        <w:t xml:space="preserve"> </w:t>
      </w:r>
      <w:r w:rsidR="005B4DC5" w:rsidRPr="003204E2">
        <w:rPr>
          <w:rStyle w:val="hps"/>
          <w:lang w:val="fr-FR"/>
        </w:rPr>
        <w:t>L</w:t>
      </w:r>
      <w:r w:rsidR="00B30350" w:rsidRPr="003204E2">
        <w:rPr>
          <w:rStyle w:val="hps"/>
          <w:lang w:val="fr-FR"/>
        </w:rPr>
        <w:t>es sanctions appliquées dans le chef des requérants n</w:t>
      </w:r>
      <w:r w:rsidR="003204E2" w:rsidRPr="003204E2">
        <w:rPr>
          <w:rStyle w:val="hps"/>
          <w:lang w:val="fr-FR"/>
        </w:rPr>
        <w:t>’</w:t>
      </w:r>
      <w:r w:rsidR="00B30350" w:rsidRPr="003204E2">
        <w:rPr>
          <w:rStyle w:val="hps"/>
          <w:lang w:val="fr-FR"/>
        </w:rPr>
        <w:t>apparaissent</w:t>
      </w:r>
      <w:r w:rsidR="005B4DC5" w:rsidRPr="003204E2">
        <w:rPr>
          <w:rStyle w:val="hps"/>
          <w:lang w:val="fr-FR"/>
        </w:rPr>
        <w:t xml:space="preserve"> </w:t>
      </w:r>
      <w:r w:rsidR="00017338" w:rsidRPr="003204E2">
        <w:rPr>
          <w:rStyle w:val="hps"/>
          <w:lang w:val="fr-FR"/>
        </w:rPr>
        <w:t>partant</w:t>
      </w:r>
      <w:r w:rsidR="00B30350" w:rsidRPr="003204E2">
        <w:rPr>
          <w:rStyle w:val="hps"/>
          <w:lang w:val="fr-FR"/>
        </w:rPr>
        <w:t xml:space="preserve"> pas disproportionnées.</w:t>
      </w:r>
    </w:p>
    <w:p w:rsidR="00853C43" w:rsidRPr="003204E2" w:rsidRDefault="001A643B" w:rsidP="003204E2">
      <w:pPr>
        <w:pStyle w:val="ECHRPara"/>
        <w:rPr>
          <w:rStyle w:val="hps"/>
          <w:lang w:val="fr-FR"/>
        </w:rPr>
      </w:pPr>
      <w:r w:rsidRPr="003204E2">
        <w:rPr>
          <w:rStyle w:val="hps"/>
          <w:lang w:val="fr-FR"/>
        </w:rPr>
        <w:fldChar w:fldCharType="begin"/>
      </w:r>
      <w:r w:rsidRPr="003204E2">
        <w:rPr>
          <w:rStyle w:val="hps"/>
          <w:lang w:val="fr-FR"/>
        </w:rPr>
        <w:instrText xml:space="preserve"> SEQ level0 \*arabic </w:instrText>
      </w:r>
      <w:r w:rsidRPr="003204E2">
        <w:rPr>
          <w:rStyle w:val="hps"/>
          <w:lang w:val="fr-FR"/>
        </w:rPr>
        <w:fldChar w:fldCharType="separate"/>
      </w:r>
      <w:r w:rsidR="003204E2" w:rsidRPr="003204E2">
        <w:rPr>
          <w:rStyle w:val="hps"/>
          <w:noProof/>
          <w:lang w:val="fr-FR"/>
        </w:rPr>
        <w:t>67</w:t>
      </w:r>
      <w:r w:rsidRPr="003204E2">
        <w:rPr>
          <w:rStyle w:val="hps"/>
          <w:lang w:val="fr-FR"/>
        </w:rPr>
        <w:fldChar w:fldCharType="end"/>
      </w:r>
      <w:r w:rsidRPr="003204E2">
        <w:rPr>
          <w:rStyle w:val="hps"/>
          <w:lang w:val="fr-FR"/>
        </w:rPr>
        <w:t>.  </w:t>
      </w:r>
      <w:r w:rsidR="00D77EBB" w:rsidRPr="003204E2">
        <w:rPr>
          <w:rStyle w:val="hps"/>
          <w:lang w:val="fr-FR"/>
        </w:rPr>
        <w:t>Ces juridictions ont établi une distinction appropriée entre le devoir des requérants de respecter la loi interne et la poursuite par eux de leur activité journalistique, non limitée pour le surplus.</w:t>
      </w:r>
    </w:p>
    <w:p w:rsidR="00571DC6" w:rsidRPr="003204E2" w:rsidRDefault="00571DC6" w:rsidP="003204E2">
      <w:pPr>
        <w:pStyle w:val="ECHRPara"/>
        <w:rPr>
          <w:lang w:val="fr-FR"/>
        </w:rPr>
      </w:pPr>
      <w:r w:rsidRPr="003204E2">
        <w:rPr>
          <w:rStyle w:val="hps"/>
          <w:lang w:val="fr-FR"/>
        </w:rPr>
        <w:fldChar w:fldCharType="begin"/>
      </w:r>
      <w:r w:rsidRPr="003204E2">
        <w:rPr>
          <w:rStyle w:val="hps"/>
          <w:lang w:val="fr-FR"/>
        </w:rPr>
        <w:instrText xml:space="preserve"> SEQ level0 \*arabic </w:instrText>
      </w:r>
      <w:r w:rsidRPr="003204E2">
        <w:rPr>
          <w:rStyle w:val="hps"/>
          <w:lang w:val="fr-FR"/>
        </w:rPr>
        <w:fldChar w:fldCharType="separate"/>
      </w:r>
      <w:r w:rsidR="003204E2" w:rsidRPr="003204E2">
        <w:rPr>
          <w:rStyle w:val="hps"/>
          <w:noProof/>
          <w:lang w:val="fr-FR"/>
        </w:rPr>
        <w:t>68</w:t>
      </w:r>
      <w:r w:rsidRPr="003204E2">
        <w:rPr>
          <w:rStyle w:val="hps"/>
          <w:lang w:val="fr-FR"/>
        </w:rPr>
        <w:fldChar w:fldCharType="end"/>
      </w:r>
      <w:r w:rsidRPr="003204E2">
        <w:rPr>
          <w:rStyle w:val="hps"/>
          <w:lang w:val="fr-FR"/>
        </w:rPr>
        <w:t>.  </w:t>
      </w:r>
      <w:r w:rsidR="005B4DC5" w:rsidRPr="003204E2">
        <w:rPr>
          <w:rStyle w:val="hps"/>
          <w:lang w:val="fr-FR"/>
        </w:rPr>
        <w:t>Compte tenu de ces éléments</w:t>
      </w:r>
      <w:r w:rsidR="00F22F3C" w:rsidRPr="003204E2">
        <w:rPr>
          <w:lang w:val="fr-FR"/>
        </w:rPr>
        <w:t>, la Cour conclut qu</w:t>
      </w:r>
      <w:r w:rsidR="003204E2" w:rsidRPr="003204E2">
        <w:rPr>
          <w:lang w:val="fr-FR"/>
        </w:rPr>
        <w:t>’</w:t>
      </w:r>
      <w:r w:rsidR="00F22F3C" w:rsidRPr="003204E2">
        <w:rPr>
          <w:lang w:val="fr-FR"/>
        </w:rPr>
        <w:t>il n</w:t>
      </w:r>
      <w:r w:rsidR="003204E2" w:rsidRPr="003204E2">
        <w:rPr>
          <w:lang w:val="fr-FR"/>
        </w:rPr>
        <w:t>’</w:t>
      </w:r>
      <w:r w:rsidR="00F22F3C" w:rsidRPr="003204E2">
        <w:rPr>
          <w:lang w:val="fr-FR"/>
        </w:rPr>
        <w:t>y a pas eu violation de l</w:t>
      </w:r>
      <w:r w:rsidR="003204E2" w:rsidRPr="003204E2">
        <w:rPr>
          <w:lang w:val="fr-FR"/>
        </w:rPr>
        <w:t>’</w:t>
      </w:r>
      <w:r w:rsidR="00F22F3C" w:rsidRPr="003204E2">
        <w:rPr>
          <w:lang w:val="fr-FR"/>
        </w:rPr>
        <w:t>article 10 de la Convention en l</w:t>
      </w:r>
      <w:r w:rsidR="003204E2" w:rsidRPr="003204E2">
        <w:rPr>
          <w:lang w:val="fr-FR"/>
        </w:rPr>
        <w:t>’</w:t>
      </w:r>
      <w:r w:rsidR="00F22F3C" w:rsidRPr="003204E2">
        <w:rPr>
          <w:lang w:val="fr-FR"/>
        </w:rPr>
        <w:t>espèce.</w:t>
      </w:r>
    </w:p>
    <w:p w:rsidR="00E77CB3" w:rsidRPr="003204E2" w:rsidRDefault="00E77CB3" w:rsidP="003204E2">
      <w:pPr>
        <w:pStyle w:val="ECHRTitle1"/>
        <w:spacing w:before="600"/>
        <w:rPr>
          <w:lang w:val="fr-FR"/>
        </w:rPr>
      </w:pPr>
      <w:r w:rsidRPr="003204E2">
        <w:rPr>
          <w:lang w:val="fr-FR"/>
        </w:rPr>
        <w:t>PAR CES MOTIFS, LA COUR</w:t>
      </w:r>
      <w:r w:rsidR="00443E37" w:rsidRPr="003204E2">
        <w:rPr>
          <w:lang w:val="fr-FR"/>
        </w:rPr>
        <w:t>, À L</w:t>
      </w:r>
      <w:r w:rsidR="003204E2" w:rsidRPr="003204E2">
        <w:rPr>
          <w:lang w:val="fr-FR"/>
        </w:rPr>
        <w:t>’</w:t>
      </w:r>
      <w:r w:rsidR="00443E37" w:rsidRPr="003204E2">
        <w:rPr>
          <w:lang w:val="fr-FR"/>
        </w:rPr>
        <w:t>UNANIMITÉ,</w:t>
      </w:r>
    </w:p>
    <w:p w:rsidR="00FB2B45" w:rsidRPr="003204E2" w:rsidRDefault="00FB2B45" w:rsidP="003204E2">
      <w:pPr>
        <w:pStyle w:val="JuList"/>
        <w:rPr>
          <w:lang w:val="fr-FR"/>
        </w:rPr>
      </w:pPr>
      <w:r w:rsidRPr="003204E2">
        <w:rPr>
          <w:lang w:val="fr-FR"/>
        </w:rPr>
        <w:t>1.  </w:t>
      </w:r>
      <w:r w:rsidRPr="003204E2">
        <w:rPr>
          <w:i/>
          <w:lang w:val="fr-FR"/>
        </w:rPr>
        <w:t>Déclare</w:t>
      </w:r>
      <w:r w:rsidR="00443E37" w:rsidRPr="003204E2">
        <w:rPr>
          <w:lang w:val="fr-FR"/>
        </w:rPr>
        <w:t xml:space="preserve"> la requête recevable</w:t>
      </w:r>
      <w:r w:rsidR="004C4AE5" w:rsidRPr="003204E2">
        <w:rPr>
          <w:lang w:val="fr-FR"/>
        </w:rPr>
        <w:t> ;</w:t>
      </w:r>
    </w:p>
    <w:p w:rsidR="00E77CB3" w:rsidRPr="003204E2" w:rsidRDefault="00E77CB3" w:rsidP="003204E2">
      <w:pPr>
        <w:pStyle w:val="JuList"/>
        <w:rPr>
          <w:lang w:val="fr-FR"/>
        </w:rPr>
      </w:pPr>
    </w:p>
    <w:p w:rsidR="00E77CB3" w:rsidRPr="003204E2" w:rsidRDefault="00942FB5" w:rsidP="003204E2">
      <w:pPr>
        <w:pStyle w:val="JuList"/>
        <w:rPr>
          <w:lang w:val="fr-FR"/>
        </w:rPr>
      </w:pPr>
      <w:r w:rsidRPr="003204E2">
        <w:rPr>
          <w:lang w:val="fr-FR"/>
        </w:rPr>
        <w:t>2</w:t>
      </w:r>
      <w:r w:rsidR="00E77CB3" w:rsidRPr="003204E2">
        <w:rPr>
          <w:lang w:val="fr-FR"/>
        </w:rPr>
        <w:t>.  </w:t>
      </w:r>
      <w:r w:rsidR="00E77CB3" w:rsidRPr="003204E2">
        <w:rPr>
          <w:i/>
          <w:lang w:val="fr-FR"/>
        </w:rPr>
        <w:t>Dit</w:t>
      </w:r>
      <w:r w:rsidR="00E77CB3" w:rsidRPr="003204E2">
        <w:rPr>
          <w:lang w:val="fr-FR"/>
        </w:rPr>
        <w:t xml:space="preserve"> qu</w:t>
      </w:r>
      <w:r w:rsidR="003204E2" w:rsidRPr="003204E2">
        <w:rPr>
          <w:lang w:val="fr-FR"/>
        </w:rPr>
        <w:t>’</w:t>
      </w:r>
      <w:r w:rsidR="00E77CB3" w:rsidRPr="003204E2">
        <w:rPr>
          <w:lang w:val="fr-FR"/>
        </w:rPr>
        <w:t xml:space="preserve">il </w:t>
      </w:r>
      <w:r w:rsidRPr="003204E2">
        <w:rPr>
          <w:lang w:val="fr-FR"/>
        </w:rPr>
        <w:t>n</w:t>
      </w:r>
      <w:r w:rsidR="003204E2" w:rsidRPr="003204E2">
        <w:rPr>
          <w:lang w:val="fr-FR"/>
        </w:rPr>
        <w:t>’</w:t>
      </w:r>
      <w:r w:rsidR="00E77CB3" w:rsidRPr="003204E2">
        <w:rPr>
          <w:lang w:val="fr-FR"/>
        </w:rPr>
        <w:t>y a</w:t>
      </w:r>
      <w:r w:rsidRPr="003204E2">
        <w:rPr>
          <w:lang w:val="fr-FR"/>
        </w:rPr>
        <w:t xml:space="preserve"> pas</w:t>
      </w:r>
      <w:r w:rsidR="00E77CB3" w:rsidRPr="003204E2">
        <w:rPr>
          <w:lang w:val="fr-FR"/>
        </w:rPr>
        <w:t xml:space="preserve"> eu violation de l</w:t>
      </w:r>
      <w:r w:rsidR="003204E2" w:rsidRPr="003204E2">
        <w:rPr>
          <w:lang w:val="fr-FR"/>
        </w:rPr>
        <w:t>’</w:t>
      </w:r>
      <w:r w:rsidR="00E77CB3" w:rsidRPr="003204E2">
        <w:rPr>
          <w:lang w:val="fr-FR"/>
        </w:rPr>
        <w:t xml:space="preserve">article </w:t>
      </w:r>
      <w:r w:rsidRPr="003204E2">
        <w:rPr>
          <w:lang w:val="fr-FR"/>
        </w:rPr>
        <w:t>10</w:t>
      </w:r>
      <w:r w:rsidR="00E77CB3" w:rsidRPr="003204E2">
        <w:rPr>
          <w:lang w:val="fr-FR"/>
        </w:rPr>
        <w:t xml:space="preserve"> de la Convention</w:t>
      </w:r>
      <w:r w:rsidR="0037392B" w:rsidRPr="003204E2">
        <w:rPr>
          <w:lang w:val="fr-FR"/>
        </w:rPr>
        <w:t>.</w:t>
      </w:r>
    </w:p>
    <w:p w:rsidR="00E77CB3" w:rsidRPr="003204E2" w:rsidRDefault="00E77CB3" w:rsidP="003204E2">
      <w:pPr>
        <w:pStyle w:val="JuParaLast"/>
        <w:rPr>
          <w:lang w:val="fr-FR"/>
        </w:rPr>
      </w:pPr>
      <w:r w:rsidRPr="003204E2">
        <w:rPr>
          <w:lang w:val="fr-FR"/>
        </w:rPr>
        <w:t>Fait en français, puis communiqué par écrit le </w:t>
      </w:r>
      <w:r w:rsidR="00C15E73" w:rsidRPr="003204E2">
        <w:rPr>
          <w:lang w:val="fr-FR"/>
        </w:rPr>
        <w:t>23 juin 2016</w:t>
      </w:r>
      <w:r w:rsidRPr="003204E2">
        <w:rPr>
          <w:lang w:val="fr-FR"/>
        </w:rPr>
        <w:t>, en application de l</w:t>
      </w:r>
      <w:r w:rsidR="003204E2" w:rsidRPr="003204E2">
        <w:rPr>
          <w:lang w:val="fr-FR"/>
        </w:rPr>
        <w:t>’</w:t>
      </w:r>
      <w:r w:rsidRPr="003204E2">
        <w:rPr>
          <w:lang w:val="fr-FR"/>
        </w:rPr>
        <w:t>article 77 §§ 2 et 3 du règlement</w:t>
      </w:r>
      <w:r w:rsidR="00AC0824" w:rsidRPr="003204E2">
        <w:rPr>
          <w:lang w:val="fr-FR"/>
        </w:rPr>
        <w:t xml:space="preserve"> de la Cour</w:t>
      </w:r>
      <w:r w:rsidRPr="003204E2">
        <w:rPr>
          <w:lang w:val="fr-FR"/>
        </w:rPr>
        <w:t>.</w:t>
      </w:r>
    </w:p>
    <w:p w:rsidR="00E77CB3" w:rsidRPr="003204E2" w:rsidRDefault="00443E37" w:rsidP="003204E2">
      <w:pPr>
        <w:pStyle w:val="JuSigned"/>
        <w:spacing w:before="600"/>
        <w:rPr>
          <w:lang w:val="es-ES_tradnl"/>
        </w:rPr>
      </w:pPr>
      <w:r w:rsidRPr="003204E2">
        <w:rPr>
          <w:lang w:val="fr-FR"/>
        </w:rPr>
        <w:tab/>
      </w:r>
      <w:r w:rsidR="00681DD3" w:rsidRPr="003204E2">
        <w:rPr>
          <w:lang w:val="es-ES_tradnl"/>
        </w:rPr>
        <w:t>Abel</w:t>
      </w:r>
      <w:r w:rsidR="00402F33" w:rsidRPr="003204E2">
        <w:rPr>
          <w:lang w:val="es-ES_tradnl"/>
        </w:rPr>
        <w:t xml:space="preserve"> </w:t>
      </w:r>
      <w:r w:rsidR="00681DD3" w:rsidRPr="003204E2">
        <w:rPr>
          <w:lang w:val="es-ES_tradnl"/>
        </w:rPr>
        <w:t>Campos</w:t>
      </w:r>
      <w:r w:rsidRPr="003204E2">
        <w:rPr>
          <w:lang w:val="es-ES_tradnl"/>
        </w:rPr>
        <w:t xml:space="preserve"> </w:t>
      </w:r>
      <w:r w:rsidR="00E77CB3" w:rsidRPr="003204E2">
        <w:rPr>
          <w:lang w:val="es-ES_tradnl"/>
        </w:rPr>
        <w:tab/>
      </w:r>
      <w:r w:rsidRPr="003204E2">
        <w:rPr>
          <w:szCs w:val="24"/>
          <w:lang w:val="es-ES_tradnl"/>
        </w:rPr>
        <w:t>Mirjana Lazarova Trajkovska</w:t>
      </w:r>
      <w:r w:rsidR="00E77CB3" w:rsidRPr="003204E2">
        <w:rPr>
          <w:lang w:val="es-ES_tradnl"/>
        </w:rPr>
        <w:br/>
      </w:r>
      <w:r w:rsidR="00E77CB3" w:rsidRPr="003204E2">
        <w:rPr>
          <w:lang w:val="es-ES_tradnl"/>
        </w:rPr>
        <w:tab/>
      </w:r>
      <w:r w:rsidR="00402F33" w:rsidRPr="003204E2">
        <w:rPr>
          <w:lang w:val="es-ES_tradnl"/>
        </w:rPr>
        <w:t>Greffier</w:t>
      </w:r>
      <w:r w:rsidR="00E77CB3" w:rsidRPr="003204E2">
        <w:rPr>
          <w:lang w:val="es-ES_tradnl"/>
        </w:rPr>
        <w:tab/>
      </w:r>
      <w:r w:rsidRPr="003204E2">
        <w:rPr>
          <w:lang w:val="es-ES_tradnl"/>
        </w:rPr>
        <w:t>Présidente</w:t>
      </w:r>
    </w:p>
    <w:p w:rsidR="004D15F3" w:rsidRPr="003204E2" w:rsidRDefault="004D15F3" w:rsidP="003204E2">
      <w:pPr>
        <w:rPr>
          <w:lang w:val="es-ES_tradnl"/>
        </w:rPr>
      </w:pPr>
    </w:p>
    <w:p w:rsidR="00535DF8" w:rsidRPr="003204E2" w:rsidRDefault="00535DF8" w:rsidP="003204E2">
      <w:pPr>
        <w:pStyle w:val="JuParaLast"/>
        <w:keepNext w:val="0"/>
        <w:keepLines w:val="0"/>
        <w:rPr>
          <w:lang w:val="fr-FR"/>
        </w:rPr>
      </w:pPr>
      <w:r w:rsidRPr="003204E2">
        <w:rPr>
          <w:lang w:val="fr-FR"/>
        </w:rPr>
        <w:t>Au présent arrêt se trouve joint, conformément aux articles 45 § 2 de la Convention et 74 § 2 du règlement, l</w:t>
      </w:r>
      <w:r w:rsidR="003204E2" w:rsidRPr="003204E2">
        <w:rPr>
          <w:lang w:val="fr-FR"/>
        </w:rPr>
        <w:t>’</w:t>
      </w:r>
      <w:r w:rsidRPr="003204E2">
        <w:rPr>
          <w:lang w:val="fr-FR"/>
        </w:rPr>
        <w:t>exposé de l</w:t>
      </w:r>
      <w:r w:rsidR="003204E2" w:rsidRPr="003204E2">
        <w:rPr>
          <w:lang w:val="fr-FR"/>
        </w:rPr>
        <w:t>’</w:t>
      </w:r>
      <w:r w:rsidRPr="003204E2">
        <w:rPr>
          <w:lang w:val="fr-FR"/>
        </w:rPr>
        <w:t>opinion séparée du juge Spano.</w:t>
      </w:r>
    </w:p>
    <w:p w:rsidR="003204E2" w:rsidRPr="004C59B2" w:rsidRDefault="00535DF8" w:rsidP="003204E2">
      <w:pPr>
        <w:pStyle w:val="JuInitialled"/>
        <w:spacing w:before="480"/>
        <w:rPr>
          <w:lang w:val="fr-FR"/>
        </w:rPr>
      </w:pPr>
      <w:r w:rsidRPr="004C59B2">
        <w:rPr>
          <w:lang w:val="fr-FR"/>
        </w:rPr>
        <w:t>M.L.T.</w:t>
      </w:r>
      <w:r w:rsidRPr="004C59B2">
        <w:rPr>
          <w:lang w:val="fr-FR"/>
        </w:rPr>
        <w:br/>
        <w:t>A.C.</w:t>
      </w:r>
    </w:p>
    <w:p w:rsidR="003204E2" w:rsidRPr="004C59B2" w:rsidRDefault="003204E2" w:rsidP="003204E2">
      <w:pPr>
        <w:pStyle w:val="JuInitialled"/>
        <w:spacing w:before="240"/>
        <w:rPr>
          <w:lang w:val="fr-FR"/>
        </w:rPr>
      </w:pPr>
    </w:p>
    <w:p w:rsidR="00BB3DF2" w:rsidRPr="004C59B2" w:rsidRDefault="00BB3DF2" w:rsidP="003204E2">
      <w:pPr>
        <w:keepNext/>
        <w:keepLines/>
        <w:spacing w:after="240"/>
        <w:jc w:val="center"/>
        <w:outlineLvl w:val="0"/>
        <w:rPr>
          <w:rFonts w:ascii="Times New Roman" w:eastAsia="Times New Roman" w:hAnsi="Times New Roman" w:cs="Times New Roman"/>
          <w:sz w:val="28"/>
          <w:lang w:val="fr-FR"/>
        </w:rPr>
        <w:sectPr w:rsidR="00BB3DF2" w:rsidRPr="004C59B2" w:rsidSect="00CB7AD0">
          <w:headerReference w:type="even" r:id="rId16"/>
          <w:headerReference w:type="default" r:id="rId17"/>
          <w:footnotePr>
            <w:numRestart w:val="eachSect"/>
          </w:footnotePr>
          <w:pgSz w:w="11906" w:h="16838" w:code="9"/>
          <w:pgMar w:top="2274" w:right="1985" w:bottom="1985" w:left="2274" w:header="1701" w:footer="720" w:gutter="0"/>
          <w:pgNumType w:start="1"/>
          <w:cols w:space="720"/>
          <w:docGrid w:linePitch="326"/>
        </w:sectPr>
      </w:pPr>
    </w:p>
    <w:p w:rsidR="0070506D" w:rsidRPr="0070506D" w:rsidRDefault="0070506D" w:rsidP="0070506D">
      <w:pPr>
        <w:pStyle w:val="ECHRTitleCentre1"/>
        <w:rPr>
          <w:lang w:val="fr-FR"/>
        </w:rPr>
      </w:pPr>
      <w:r w:rsidRPr="0070506D">
        <w:rPr>
          <w:lang w:val="fr-FR"/>
        </w:rPr>
        <w:lastRenderedPageBreak/>
        <w:t>OPINION CONCORDANTE DU JUGE SPANO</w:t>
      </w:r>
    </w:p>
    <w:p w:rsidR="0070506D" w:rsidRPr="0070506D" w:rsidRDefault="0070506D" w:rsidP="0070506D">
      <w:pPr>
        <w:pStyle w:val="OpiTranslation"/>
        <w:rPr>
          <w:i w:val="0"/>
          <w:lang w:val="fr-FR"/>
        </w:rPr>
      </w:pPr>
      <w:r w:rsidRPr="0070506D">
        <w:rPr>
          <w:i w:val="0"/>
          <w:lang w:val="fr-FR"/>
        </w:rPr>
        <w:t>(</w:t>
      </w:r>
      <w:r w:rsidRPr="0070506D">
        <w:rPr>
          <w:lang w:val="fr-FR"/>
        </w:rPr>
        <w:t>Traduction</w:t>
      </w:r>
      <w:r w:rsidRPr="0070506D">
        <w:rPr>
          <w:i w:val="0"/>
          <w:lang w:val="fr-FR"/>
        </w:rPr>
        <w:t>)</w:t>
      </w:r>
    </w:p>
    <w:p w:rsidR="0070506D" w:rsidRPr="0070506D" w:rsidRDefault="0070506D" w:rsidP="0070506D">
      <w:pPr>
        <w:pStyle w:val="OpiPara"/>
        <w:rPr>
          <w:lang w:val="fr-FR"/>
        </w:rPr>
      </w:pPr>
    </w:p>
    <w:p w:rsidR="0070506D" w:rsidRPr="0070506D" w:rsidRDefault="0070506D" w:rsidP="0070506D">
      <w:pPr>
        <w:pStyle w:val="OpiPara"/>
        <w:jc w:val="center"/>
        <w:rPr>
          <w:lang w:val="fr-FR"/>
        </w:rPr>
      </w:pPr>
      <w:r w:rsidRPr="0070506D">
        <w:rPr>
          <w:lang w:val="fr-FR"/>
        </w:rPr>
        <w:t>I</w:t>
      </w:r>
    </w:p>
    <w:p w:rsidR="0070506D" w:rsidRPr="0070506D" w:rsidRDefault="0070506D" w:rsidP="0070506D">
      <w:pPr>
        <w:pStyle w:val="OpiPara"/>
        <w:rPr>
          <w:lang w:val="fr-FR"/>
        </w:rPr>
      </w:pPr>
      <w:r w:rsidRPr="0070506D">
        <w:rPr>
          <w:lang w:val="fr-FR"/>
        </w:rPr>
        <w:t>1.  Les requérants, le directeur d’un journal en ligne local et deux de ses journalistes, furent condamnés pour accès illégal à des fréquences radio utilisées par la police pendant les activités de celle-ci, les informations ainsi recueillies par les journalistes étant considérées comme confidentielles en vertu du code pénal italien. La Cour a estimé qu’il n’y avait pas violation de l’article 10 de la Convention. Je souscris à cette conclusion. Cependant, je me propose d’expliquer dans une opinion séparée pourquoi j’estime que le raisonnement adopté par la Cour est dans sa substance un peu trop général.</w:t>
      </w:r>
    </w:p>
    <w:p w:rsidR="0070506D" w:rsidRPr="0070506D" w:rsidRDefault="0070506D" w:rsidP="0070506D">
      <w:pPr>
        <w:pStyle w:val="OpiPara"/>
        <w:rPr>
          <w:lang w:val="fr-FR"/>
        </w:rPr>
      </w:pPr>
      <w:r w:rsidRPr="0070506D">
        <w:rPr>
          <w:lang w:val="fr-FR"/>
        </w:rPr>
        <w:t>2.  Le journalisme d’investigation constitue une caractéristique importante des sociétés démocratiques. Comme l’histoire l’a démontré, un journalisme responsable peut, s’il est mené de manière efficace, mettre au jour des informations de grande valeur pour l’intérêt général et ainsi promouvoir et renforcer les valeurs démocratiques fondamentales de responsabilité et de transparence. Comme la Cour l’a déjà dit, le journalisme responsable, activité professionnelle protégée par l’article 10 de la Convention, est une notion qui ne couvre pas uniquement le contenu des informations qui sont recueillies et/ou diffusées par des moyens journalistiques. Elle englobe aussi, entre autres, la licéité du comportement des journalistes, du point de vue notamment de leurs rapports publics avec les autorités dans l’exercice de leurs fonctions journalistiques. Il importe de préciser que le fait qu’un journaliste a enfreint la loi à cet égard doit être pris en compte, mais il n’est pas déterminant pour établir s’il a agi de manière responsable.</w:t>
      </w:r>
    </w:p>
    <w:p w:rsidR="0070506D" w:rsidRPr="0070506D" w:rsidRDefault="0070506D" w:rsidP="0070506D">
      <w:pPr>
        <w:pStyle w:val="OpiPara"/>
        <w:rPr>
          <w:lang w:val="fr-FR"/>
        </w:rPr>
      </w:pPr>
      <w:r w:rsidRPr="0070506D">
        <w:rPr>
          <w:lang w:val="fr-FR"/>
        </w:rPr>
        <w:t xml:space="preserve">3.  Ainsi que la Cour l’a admis dans son arrêt de Grande Chambre en l’affaire </w:t>
      </w:r>
      <w:r w:rsidRPr="0070506D">
        <w:rPr>
          <w:i/>
          <w:lang w:val="fr-FR"/>
        </w:rPr>
        <w:t>Stoll c. Suisse</w:t>
      </w:r>
      <w:r w:rsidRPr="0070506D">
        <w:rPr>
          <w:lang w:val="fr-FR"/>
        </w:rPr>
        <w:t xml:space="preserve"> ([GC], n</w:t>
      </w:r>
      <w:r w:rsidRPr="0070506D">
        <w:rPr>
          <w:vertAlign w:val="superscript"/>
          <w:lang w:val="fr-FR"/>
        </w:rPr>
        <w:t>o</w:t>
      </w:r>
      <w:r w:rsidRPr="0070506D">
        <w:rPr>
          <w:lang w:val="fr-FR"/>
        </w:rPr>
        <w:t xml:space="preserve"> 69698/01, § 102, CEDH 2007</w:t>
      </w:r>
      <w:r w:rsidRPr="0070506D">
        <w:rPr>
          <w:lang w:val="fr-FR"/>
        </w:rPr>
        <w:noBreakHyphen/>
        <w:t xml:space="preserve">V), même si un journaliste peut incontestablement avoir enfreint la loi pénale – par exemple en publiant des informations confidentielles, comme dans ladite affaire –, on ne peut s’en tenir au simple constat d’une violation d’une disposition du droit pénal aux fins de l’examen de la nécessité et de la proportionnalité qui doit être mené sur le terrain de l’article 10 § 2 de la Convention. S’il en allait autrement, il serait loisible aux </w:t>
      </w:r>
      <w:r w:rsidRPr="0070506D">
        <w:rPr>
          <w:rFonts w:cstheme="minorHAnsi"/>
          <w:lang w:val="fr-FR"/>
        </w:rPr>
        <w:t>É</w:t>
      </w:r>
      <w:r w:rsidRPr="0070506D">
        <w:rPr>
          <w:lang w:val="fr-FR"/>
        </w:rPr>
        <w:t>tats contractants de subvertir le rôle essentiel que joue la presse dans le fonctionnement d’une société démocratique en soumettant des journalistes à des sanctions pénales dès qu’ils s’apprêtent à mettre au jour des faits susceptibles de nuire à l’image des détenteurs du pouvoir.</w:t>
      </w:r>
    </w:p>
    <w:p w:rsidR="0070506D" w:rsidRPr="0070506D" w:rsidRDefault="0070506D" w:rsidP="0070506D">
      <w:pPr>
        <w:pStyle w:val="OpiPara"/>
        <w:rPr>
          <w:lang w:val="fr-FR"/>
        </w:rPr>
      </w:pPr>
      <w:r w:rsidRPr="0070506D">
        <w:rPr>
          <w:lang w:val="fr-FR"/>
        </w:rPr>
        <w:t xml:space="preserve">4.  Mais il est clair qu’un journaliste ne peut se prévaloir d’une immunité pénale exclusive – dont ne bénéficient pas les autres personnes qui exercent leur droit à la liberté d’expression – du seul fait que l’infraction en question a été commise dans l’exercice de ses fonctions journalistiques. Toute personne, fût-elle journaliste, qui exerce sa liberté d’expression, assume « des devoirs et des responsabilités » dont l’étendue dépend de sa situation et du procédé </w:t>
      </w:r>
      <w:r w:rsidRPr="0070506D">
        <w:rPr>
          <w:lang w:val="fr-FR"/>
        </w:rPr>
        <w:lastRenderedPageBreak/>
        <w:t>technique utilisé (</w:t>
      </w:r>
      <w:r w:rsidRPr="0070506D">
        <w:rPr>
          <w:i/>
          <w:lang w:val="fr-FR"/>
        </w:rPr>
        <w:t xml:space="preserve">Pentikäinen c. Finlande </w:t>
      </w:r>
      <w:r w:rsidRPr="0070506D">
        <w:rPr>
          <w:lang w:val="fr-FR"/>
        </w:rPr>
        <w:t>[GC], n</w:t>
      </w:r>
      <w:r w:rsidRPr="0070506D">
        <w:rPr>
          <w:vertAlign w:val="superscript"/>
          <w:lang w:val="fr-FR"/>
        </w:rPr>
        <w:t xml:space="preserve">o </w:t>
      </w:r>
      <w:r w:rsidRPr="0070506D">
        <w:rPr>
          <w:lang w:val="fr-FR"/>
        </w:rPr>
        <w:t>11882/10, §§ 90-91, CEDH</w:t>
      </w:r>
      <w:r w:rsidR="00B55A10">
        <w:rPr>
          <w:lang w:val="fr-FR"/>
        </w:rPr>
        <w:t> </w:t>
      </w:r>
      <w:r w:rsidRPr="0070506D">
        <w:rPr>
          <w:lang w:val="fr-FR"/>
        </w:rPr>
        <w:t>2015).</w:t>
      </w:r>
    </w:p>
    <w:p w:rsidR="0070506D" w:rsidRPr="0070506D" w:rsidRDefault="0070506D" w:rsidP="0070506D">
      <w:pPr>
        <w:pStyle w:val="ECHRPara"/>
        <w:jc w:val="center"/>
        <w:rPr>
          <w:lang w:val="fr-FR"/>
        </w:rPr>
      </w:pPr>
      <w:r w:rsidRPr="0070506D">
        <w:rPr>
          <w:lang w:val="fr-FR"/>
        </w:rPr>
        <w:t>II</w:t>
      </w:r>
    </w:p>
    <w:p w:rsidR="0070506D" w:rsidRPr="0070506D" w:rsidRDefault="0070506D" w:rsidP="0070506D">
      <w:pPr>
        <w:pStyle w:val="OpiPara"/>
        <w:rPr>
          <w:lang w:val="fr-FR"/>
        </w:rPr>
      </w:pPr>
      <w:r w:rsidRPr="0070506D">
        <w:rPr>
          <w:lang w:val="fr-FR"/>
        </w:rPr>
        <w:t>5. Les requérants se plaignaient que la saisie de leur véhicule et de leurs équipements radiophoniques ainsi que leur condamnation ultérieure avaient constitué une ingérence disproportionnée dans leur liberté d’expression, notamment dans le cadre de leur accès aux informations en tant que journalistes.</w:t>
      </w:r>
    </w:p>
    <w:p w:rsidR="0070506D" w:rsidRPr="0070506D" w:rsidRDefault="0070506D" w:rsidP="0070506D">
      <w:pPr>
        <w:pStyle w:val="OpiPara"/>
        <w:rPr>
          <w:lang w:val="fr-FR"/>
        </w:rPr>
      </w:pPr>
      <w:r w:rsidRPr="0070506D">
        <w:rPr>
          <w:lang w:val="fr-FR"/>
        </w:rPr>
        <w:t xml:space="preserve">6. La Cour commence son examen en laissant ouverte la question de savoir si les requérants ont subi une ingérence au sens de l’article 10 § 1 de la Convention, déclarant qu’à supposer même qu’il y ait eu pareille ingérence, elle serait justifiée dans les circonstances de l’espèce (paragraphe 45 de l’arrêt). Pareille démarche peut paraître prudente, considérant qu’il peut être difficile de déterminer quelles activités préalables à la publication, inhérentes au journalisme d’investigation, constituent une </w:t>
      </w:r>
      <w:r w:rsidRPr="0070506D">
        <w:rPr>
          <w:i/>
          <w:lang w:val="fr-FR"/>
        </w:rPr>
        <w:t>conduite</w:t>
      </w:r>
      <w:r w:rsidRPr="0070506D">
        <w:rPr>
          <w:lang w:val="fr-FR"/>
        </w:rPr>
        <w:t xml:space="preserve"> relevant en soi de la protection de l’article 10 de la Convention. Cependant, dans les circonstances de l’espèce, j’aurais pu sans problème conclure que l’article 10 était bien applicable et qu’il y avait bien eu ingérence. À cet égard, j’estime, contrairement à mes collègues (paragraphe 43 de l’arrêt), qu’une telle conclusion aurait été en pleine cohérence avec les conclusions récentes de la Grande Chambre dans l’affaire </w:t>
      </w:r>
      <w:r w:rsidRPr="0070506D">
        <w:rPr>
          <w:i/>
          <w:lang w:val="fr-FR"/>
        </w:rPr>
        <w:t>Pentikäinen</w:t>
      </w:r>
      <w:r w:rsidRPr="0070506D">
        <w:rPr>
          <w:lang w:val="fr-FR"/>
        </w:rPr>
        <w:t xml:space="preserve"> (précitée, § 83), dans laquelle la Cour a estimé que, lorsque le requérant fut appréhendé par la police, détenu pendant 18 heures puis accusé et condamné par les juridictions internes pour avoir désobéi à la police, « l’exercice par l’intéressé de ses activités de journaliste en a[vait] pâti car celui-ci s’était rendu sur les lieux pour couvrir les événements en qualité de photographe de presse ».</w:t>
      </w:r>
    </w:p>
    <w:p w:rsidR="0070506D" w:rsidRPr="0070506D" w:rsidRDefault="0070506D" w:rsidP="0070506D">
      <w:pPr>
        <w:pStyle w:val="OpiPara"/>
        <w:rPr>
          <w:lang w:val="fr-FR"/>
        </w:rPr>
      </w:pPr>
      <w:r w:rsidRPr="0070506D">
        <w:rPr>
          <w:lang w:val="fr-FR"/>
        </w:rPr>
        <w:t xml:space="preserve">7.  Je souscris aux conclusions de la Cour sur les questions de savoir si l’ingérence était prévue par la loi et poursuivait un but légitime (paragraphes 49–50 de l’arrêt). Au paragraphe 56 de l’arrêt, la Cour renvoie ensuite à juste titre aux critères suivants dégagés dans l’arrêt </w:t>
      </w:r>
      <w:r w:rsidRPr="0070506D">
        <w:rPr>
          <w:i/>
          <w:lang w:val="fr-FR"/>
        </w:rPr>
        <w:t>Stoll</w:t>
      </w:r>
      <w:r w:rsidRPr="0070506D">
        <w:rPr>
          <w:lang w:val="fr-FR"/>
        </w:rPr>
        <w:t xml:space="preserve">, estimant qu’ils constituent le cadre d’analyse des faits (voir mon opinion dissidente dans l’affaire </w:t>
      </w:r>
      <w:r w:rsidRPr="0070506D">
        <w:rPr>
          <w:i/>
          <w:lang w:val="fr-FR"/>
        </w:rPr>
        <w:t>Pentikäinen</w:t>
      </w:r>
      <w:r w:rsidRPr="0070506D">
        <w:rPr>
          <w:lang w:val="fr-FR"/>
        </w:rPr>
        <w:t>, précitée, § 6) : il s’agit des intérêts en jeu, de l’examen de la mesure par les juridictions internes, de la conduite du requérant et de la proportionnalité de la sanction infligée (</w:t>
      </w:r>
      <w:r w:rsidRPr="0070506D">
        <w:rPr>
          <w:i/>
          <w:lang w:val="fr-FR"/>
        </w:rPr>
        <w:t>Stoll</w:t>
      </w:r>
      <w:r w:rsidRPr="0070506D">
        <w:rPr>
          <w:lang w:val="fr-FR"/>
        </w:rPr>
        <w:t>, précité, § 112). Cependant, c’est au niveau de l’application de ces critères aux faits de la cause que je trouve le raisonnement problématique et d’une portée trop générale. J’aurais préféré appliquer une analyse plus ciblée et plus centrée sur les faits, comme suit.</w:t>
      </w:r>
    </w:p>
    <w:p w:rsidR="0070506D" w:rsidRPr="0070506D" w:rsidRDefault="0070506D" w:rsidP="0070506D">
      <w:pPr>
        <w:pStyle w:val="OpiPara"/>
        <w:rPr>
          <w:lang w:val="fr-FR"/>
        </w:rPr>
      </w:pPr>
      <w:r w:rsidRPr="0070506D">
        <w:rPr>
          <w:lang w:val="fr-FR"/>
        </w:rPr>
        <w:t xml:space="preserve">8.  Tout d’abord, tout en admettant que les faits ne révèlent pas des intérêts publics de même nature que ceux qui étaient en jeu dans les affaires </w:t>
      </w:r>
      <w:r w:rsidRPr="0070506D">
        <w:rPr>
          <w:i/>
          <w:lang w:val="fr-FR"/>
        </w:rPr>
        <w:t>Stoll</w:t>
      </w:r>
      <w:r w:rsidRPr="0070506D">
        <w:rPr>
          <w:lang w:val="fr-FR"/>
        </w:rPr>
        <w:t xml:space="preserve"> ou </w:t>
      </w:r>
      <w:r w:rsidRPr="0070506D">
        <w:rPr>
          <w:i/>
          <w:lang w:val="fr-FR"/>
        </w:rPr>
        <w:t>Pentikäinen</w:t>
      </w:r>
      <w:r w:rsidRPr="0070506D">
        <w:rPr>
          <w:lang w:val="fr-FR"/>
        </w:rPr>
        <w:t xml:space="preserve">, j’estime que l’appréciation de la Cour n’aurait pas dû se limiter à déclarer en des termes abstraits que l’intérêt en l’espèce se limitait à « l’intérêt du public de prendre connaissance de faits divers dans un journal local » (paragraphe 59 de l’arrêt). L’examen de la question de l’intérêt général aurait dû plutôt se concentrer sur la </w:t>
      </w:r>
      <w:r w:rsidRPr="0070506D">
        <w:rPr>
          <w:i/>
          <w:lang w:val="fr-FR"/>
        </w:rPr>
        <w:t>nature</w:t>
      </w:r>
      <w:r w:rsidRPr="0070506D">
        <w:rPr>
          <w:lang w:val="fr-FR"/>
        </w:rPr>
        <w:t xml:space="preserve"> des informations confidentielles que les journalistes tentaient en fait d’obtenir pour ensuite les diffuser au public. En </w:t>
      </w:r>
      <w:r w:rsidRPr="0070506D">
        <w:rPr>
          <w:lang w:val="fr-FR"/>
        </w:rPr>
        <w:lastRenderedPageBreak/>
        <w:t>réalité, et cela est très important, il y a des situations dans lesquelles l’article 10 de la Convention peut justifier que des journalistes décident d’adopter des stratégies d’enquête agressives dans le travail, ce qui peut impliquer l’accès à des informations confidentielles, s’il existe un fort intérêt général à diffuser l’information en question, par exemple lorsqu’il s’agit d’essayer de faire la lumière sur la corruption ou les activités illégales de fonctionnaires gouvernementaux ou de représentants élus. En outre, le fait que la publication du journal vise une communauté locale est à mon sens hors de propos, dès lors que le contenu du journal en question était publié en ligne.</w:t>
      </w:r>
    </w:p>
    <w:p w:rsidR="0070506D" w:rsidRPr="0070506D" w:rsidRDefault="0070506D" w:rsidP="0070506D">
      <w:pPr>
        <w:pStyle w:val="OpiPara"/>
        <w:rPr>
          <w:lang w:val="fr-FR"/>
        </w:rPr>
      </w:pPr>
      <w:r w:rsidRPr="0070506D">
        <w:rPr>
          <w:lang w:val="fr-FR"/>
        </w:rPr>
        <w:t>9.  Cela étant, même si l’on analyse l’affaire à travers ce prisme plus étroit et focalisé sur les faits de l’espèce, il en ressort néanmoins que la nature des informations obtenues par les requérants n’était pas essentielle du point de vue de l’intérêt général. Partant, en vertu de l’article 10 § 2 de la Convention, les requérants doivent assumer la charge d’avoir eu recours à des moyens illégaux pour obtenir des informations confidentielles sans que leurs actions ne soient justifiées par l’existence d’un fort intérêt général.</w:t>
      </w:r>
    </w:p>
    <w:p w:rsidR="0070506D" w:rsidRPr="0070506D" w:rsidRDefault="0070506D" w:rsidP="0070506D">
      <w:pPr>
        <w:pStyle w:val="OpiPara"/>
        <w:rPr>
          <w:lang w:val="fr-FR"/>
        </w:rPr>
      </w:pPr>
      <w:r w:rsidRPr="0070506D">
        <w:rPr>
          <w:lang w:val="fr-FR"/>
        </w:rPr>
        <w:t xml:space="preserve">10.  La deuxième question que je trouve problématique tient au fait que la Cour estime à juste titre que les juridictions italiennes ont appliqué une règle du droit pénal italien qui interdit de manière générale l’interception de toute conversation confidentielle, y compris les communications de la police (paragraphe 65 de l’arrêt). En d’autres termes, les juridictions italiennes n’ont pas mis en balance les intérêts concurrents en jeu ainsi qu’il convient normalement de le faire dans les affaires « article 10 » de cette nature, en application du deuxième des critères dégagés dans l’affaire </w:t>
      </w:r>
      <w:r w:rsidRPr="0070506D">
        <w:rPr>
          <w:i/>
          <w:lang w:val="fr-FR"/>
        </w:rPr>
        <w:t>Stoll</w:t>
      </w:r>
      <w:r w:rsidRPr="0070506D">
        <w:rPr>
          <w:lang w:val="fr-FR"/>
        </w:rPr>
        <w:t>, à savoir le contrôle de la mesure par les juridictions internes. À mon sens, la Cour aurait dû reconnaître le caractère problématique de l’examen des tribunaux italiens, d’autant qu’elle avait déjà rejeté l’exception de non-épuisement des voies de recours internes présentée par le Gouvernement, celui-ci ayant soutenu que les requérants n’avaient pas invoqué leur droit à la liberté d’expression au niveau interne (paragraphe 40 de l’arrêt).</w:t>
      </w:r>
    </w:p>
    <w:p w:rsidR="0070506D" w:rsidRDefault="0070506D" w:rsidP="0070506D">
      <w:pPr>
        <w:pStyle w:val="OpiPara"/>
        <w:rPr>
          <w:lang w:val="fr-FR"/>
        </w:rPr>
      </w:pPr>
      <w:r w:rsidRPr="0070506D">
        <w:rPr>
          <w:lang w:val="fr-FR"/>
        </w:rPr>
        <w:t xml:space="preserve">11.  Cependant, compte tenu du grief des requérants considéré globalement sur la base des critères </w:t>
      </w:r>
      <w:r w:rsidRPr="0070506D">
        <w:rPr>
          <w:i/>
          <w:lang w:val="fr-FR"/>
        </w:rPr>
        <w:t>Stoll</w:t>
      </w:r>
      <w:r w:rsidRPr="0070506D">
        <w:rPr>
          <w:lang w:val="fr-FR"/>
        </w:rPr>
        <w:t>, et en particulier du poids relativement faible qui peut être attaché à l’intérêt général en jeu dans la mise en balance avec le comportement répréhensible des requérants dans l’obtention des informations en question, je souscris aux conclusions de l’arrêt.</w:t>
      </w:r>
    </w:p>
    <w:p w:rsidR="004C59B2" w:rsidRPr="0070506D" w:rsidRDefault="004C59B2" w:rsidP="0070506D">
      <w:pPr>
        <w:pStyle w:val="OpiPara"/>
        <w:rPr>
          <w:lang w:val="fr-FR"/>
        </w:rPr>
      </w:pPr>
    </w:p>
    <w:sectPr w:rsidR="004C59B2" w:rsidRPr="0070506D" w:rsidSect="005F279E">
      <w:headerReference w:type="even" r:id="rId18"/>
      <w:headerReference w:type="default" r:id="rId19"/>
      <w:footnotePr>
        <w:numRestart w:val="eachSect"/>
      </w:footnotePr>
      <w:pgSz w:w="11906" w:h="16838" w:code="9"/>
      <w:pgMar w:top="2274" w:right="1983" w:bottom="1985"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90" w:rsidRPr="0045067D" w:rsidRDefault="00304E90" w:rsidP="00E77CB3">
      <w:pPr>
        <w:rPr>
          <w:lang w:val="fr-FR"/>
        </w:rPr>
      </w:pPr>
      <w:r w:rsidRPr="0045067D">
        <w:rPr>
          <w:lang w:val="fr-FR"/>
        </w:rPr>
        <w:separator/>
      </w:r>
    </w:p>
  </w:endnote>
  <w:endnote w:type="continuationSeparator" w:id="0">
    <w:p w:rsidR="00304E90" w:rsidRPr="0045067D" w:rsidRDefault="00304E90"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2B" w:rsidRPr="00150BFA" w:rsidRDefault="0037392B" w:rsidP="0037392B">
    <w:pPr>
      <w:jc w:val="center"/>
    </w:pPr>
    <w:r>
      <w:rPr>
        <w:noProof/>
        <w:lang w:val="it-IT" w:eastAsia="it-IT"/>
      </w:rPr>
      <w:drawing>
        <wp:inline distT="0" distB="0" distL="0" distR="0" wp14:anchorId="4BA1DC31" wp14:editId="1B891D3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7392B" w:rsidRDefault="003739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90" w:rsidRPr="0045067D" w:rsidRDefault="00304E90" w:rsidP="00E77CB3">
      <w:pPr>
        <w:rPr>
          <w:lang w:val="fr-FR"/>
        </w:rPr>
      </w:pPr>
      <w:r w:rsidRPr="0045067D">
        <w:rPr>
          <w:lang w:val="fr-FR"/>
        </w:rPr>
        <w:separator/>
      </w:r>
    </w:p>
  </w:footnote>
  <w:footnote w:type="continuationSeparator" w:id="0">
    <w:p w:rsidR="00304E90" w:rsidRPr="0045067D" w:rsidRDefault="00304E90" w:rsidP="00E77CB3">
      <w:pPr>
        <w:rPr>
          <w:lang w:val="fr-FR"/>
        </w:rPr>
      </w:pPr>
      <w:r w:rsidRPr="0045067D">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D0" w:rsidRPr="00CB7AD0" w:rsidRDefault="00CB7AD0">
    <w:pPr>
      <w:pStyle w:val="Intestazione"/>
      <w:rPr>
        <w:sz w:val="18"/>
        <w:szCs w:val="18"/>
        <w:lang w:val="fr-FR"/>
      </w:rPr>
    </w:pPr>
    <w:r w:rsidRPr="00CB7AD0">
      <w:rPr>
        <w:sz w:val="18"/>
        <w:szCs w:val="18"/>
        <w:lang w:val="fr-FR"/>
      </w:rPr>
      <w:tab/>
    </w:r>
    <w:r w:rsidRPr="00CB7AD0">
      <w:rPr>
        <w:noProof/>
        <w:sz w:val="18"/>
        <w:szCs w:val="18"/>
        <w:lang w:val="fr-FR"/>
      </w:rPr>
      <w:t>ARRÊT</w:t>
    </w:r>
    <w:r w:rsidRPr="00CB7AD0">
      <w:rPr>
        <w:sz w:val="18"/>
        <w:szCs w:val="18"/>
        <w:lang w:val="fr-FR"/>
      </w:rPr>
      <w:t xml:space="preserve"> BRAMBILLA ET AUTRES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2B" w:rsidRPr="00681DD3" w:rsidRDefault="0037392B" w:rsidP="00681DD3">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2B" w:rsidRPr="00A45145" w:rsidRDefault="0037392B" w:rsidP="0037392B">
    <w:pPr>
      <w:jc w:val="center"/>
    </w:pPr>
    <w:r>
      <w:rPr>
        <w:noProof/>
        <w:lang w:val="it-IT" w:eastAsia="it-IT"/>
      </w:rPr>
      <w:drawing>
        <wp:inline distT="0" distB="0" distL="0" distR="0" wp14:anchorId="2A547F1A" wp14:editId="069CE24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7392B" w:rsidRDefault="0037392B">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D0" w:rsidRPr="00CB7AD0" w:rsidRDefault="00857399" w:rsidP="00857399">
    <w:pPr>
      <w:pStyle w:val="ECHRHeader"/>
      <w:rPr>
        <w:lang w:val="fr-FR"/>
      </w:rPr>
    </w:pPr>
    <w:r w:rsidRPr="00857399">
      <w:rPr>
        <w:lang w:val="fr-FR"/>
      </w:rPr>
      <w:fldChar w:fldCharType="begin"/>
    </w:r>
    <w:r w:rsidRPr="00857399">
      <w:rPr>
        <w:lang w:val="fr-FR"/>
      </w:rPr>
      <w:instrText xml:space="preserve"> PAGE </w:instrText>
    </w:r>
    <w:r w:rsidRPr="00857399">
      <w:rPr>
        <w:lang w:val="fr-FR"/>
      </w:rPr>
      <w:fldChar w:fldCharType="separate"/>
    </w:r>
    <w:r w:rsidR="00BA6008">
      <w:rPr>
        <w:noProof/>
        <w:lang w:val="fr-FR"/>
      </w:rPr>
      <w:t>12</w:t>
    </w:r>
    <w:r w:rsidRPr="00857399">
      <w:rPr>
        <w:lang w:val="fr-FR"/>
      </w:rPr>
      <w:fldChar w:fldCharType="end"/>
    </w:r>
    <w:r w:rsidR="00CB7AD0" w:rsidRPr="00CB7AD0">
      <w:rPr>
        <w:lang w:val="fr-FR"/>
      </w:rPr>
      <w:tab/>
    </w:r>
    <w:r w:rsidR="00CB7AD0" w:rsidRPr="00CB7AD0">
      <w:rPr>
        <w:noProof/>
        <w:lang w:val="fr-FR"/>
      </w:rPr>
      <w:t>ARRÊT</w:t>
    </w:r>
    <w:r w:rsidR="00CB7AD0" w:rsidRPr="00CB7AD0">
      <w:rPr>
        <w:lang w:val="fr-FR"/>
      </w:rPr>
      <w:t xml:space="preserve"> BRAMBILLA ET AUTRES c. ITALIE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9E" w:rsidRPr="0045067D" w:rsidRDefault="005F279E" w:rsidP="00C63990">
    <w:pPr>
      <w:pStyle w:val="ECHRHeader"/>
      <w:rPr>
        <w:lang w:val="fr-FR"/>
      </w:rPr>
    </w:pPr>
    <w:r w:rsidRPr="0045067D">
      <w:rPr>
        <w:lang w:val="fr-FR"/>
      </w:rPr>
      <w:tab/>
    </w:r>
    <w:r>
      <w:rPr>
        <w:noProof/>
        <w:lang w:val="fr-FR"/>
      </w:rPr>
      <w:t>ARRÊT</w:t>
    </w:r>
    <w:r w:rsidRPr="00443E37">
      <w:rPr>
        <w:lang w:val="fr-FR"/>
      </w:rPr>
      <w:t xml:space="preserve"> BRAMBILLA ET AUTRES c. </w:t>
    </w:r>
    <w:r>
      <w:rPr>
        <w:lang w:val="fr-FR"/>
      </w:rPr>
      <w:t xml:space="preserve">ITALIE </w:t>
    </w:r>
    <w:r w:rsidRPr="00443E37">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BA6008">
      <w:rPr>
        <w:rStyle w:val="Numeropagina"/>
        <w:noProof/>
        <w:lang w:val="fr-FR"/>
      </w:rPr>
      <w:t>1</w:t>
    </w:r>
    <w:r>
      <w:rPr>
        <w:rStyle w:val="Numeropagina"/>
        <w:lang w:val="fr-F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99" w:rsidRPr="00CB7AD0" w:rsidRDefault="00857399" w:rsidP="00857399">
    <w:pPr>
      <w:pStyle w:val="ECHRHeader"/>
      <w:rPr>
        <w:lang w:val="fr-FR"/>
      </w:rPr>
    </w:pPr>
    <w:r w:rsidRPr="00857399">
      <w:rPr>
        <w:lang w:val="fr-FR"/>
      </w:rPr>
      <w:fldChar w:fldCharType="begin"/>
    </w:r>
    <w:r w:rsidRPr="00857399">
      <w:rPr>
        <w:lang w:val="fr-FR"/>
      </w:rPr>
      <w:instrText xml:space="preserve"> PAGE </w:instrText>
    </w:r>
    <w:r w:rsidRPr="00857399">
      <w:rPr>
        <w:lang w:val="fr-FR"/>
      </w:rPr>
      <w:fldChar w:fldCharType="separate"/>
    </w:r>
    <w:r w:rsidR="00BA6008">
      <w:rPr>
        <w:noProof/>
        <w:lang w:val="fr-FR"/>
      </w:rPr>
      <w:t>16</w:t>
    </w:r>
    <w:r w:rsidRPr="00857399">
      <w:rPr>
        <w:lang w:val="fr-FR"/>
      </w:rPr>
      <w:fldChar w:fldCharType="end"/>
    </w:r>
    <w:r w:rsidRPr="00CB7AD0">
      <w:rPr>
        <w:lang w:val="fr-FR"/>
      </w:rPr>
      <w:tab/>
    </w:r>
    <w:r w:rsidRPr="00CB7AD0">
      <w:rPr>
        <w:noProof/>
        <w:lang w:val="fr-FR"/>
      </w:rPr>
      <w:t>ARRÊT</w:t>
    </w:r>
    <w:r w:rsidRPr="00CB7AD0">
      <w:rPr>
        <w:lang w:val="fr-FR"/>
      </w:rPr>
      <w:t xml:space="preserve"> BRAMBILLA ET AUTRES c. ITALIE</w:t>
    </w:r>
    <w:r>
      <w:rPr>
        <w:lang w:val="fr-FR"/>
      </w:rPr>
      <w:t xml:space="preserve"> – OPINION S</w:t>
    </w:r>
    <w:r>
      <w:rPr>
        <w:rFonts w:cstheme="minorHAnsi"/>
        <w:lang w:val="fr-FR"/>
      </w:rPr>
      <w:t>É</w:t>
    </w:r>
    <w:r>
      <w:rPr>
        <w:lang w:val="fr-FR"/>
      </w:rPr>
      <w:t>PAR</w:t>
    </w:r>
    <w:r>
      <w:rPr>
        <w:rFonts w:cstheme="minorHAnsi"/>
        <w:lang w:val="fr-FR"/>
      </w:rPr>
      <w:t>É</w:t>
    </w:r>
    <w:r>
      <w:rPr>
        <w:lang w:val="fr-FR"/>
      </w:rPr>
      <w: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F2" w:rsidRPr="0045067D" w:rsidRDefault="00BB3DF2" w:rsidP="00C63990">
    <w:pPr>
      <w:pStyle w:val="ECHRHeader"/>
      <w:rPr>
        <w:lang w:val="fr-FR"/>
      </w:rPr>
    </w:pPr>
    <w:r w:rsidRPr="0045067D">
      <w:rPr>
        <w:lang w:val="fr-FR"/>
      </w:rPr>
      <w:tab/>
    </w:r>
    <w:r>
      <w:rPr>
        <w:noProof/>
        <w:lang w:val="fr-FR"/>
      </w:rPr>
      <w:t>ARRÊT</w:t>
    </w:r>
    <w:r w:rsidRPr="00443E37">
      <w:rPr>
        <w:lang w:val="fr-FR"/>
      </w:rPr>
      <w:t xml:space="preserve"> BRAMBILLA ET AUTRES c. </w:t>
    </w:r>
    <w:r>
      <w:rPr>
        <w:lang w:val="fr-FR"/>
      </w:rPr>
      <w:t>ITALIE – OPINION S</w:t>
    </w:r>
    <w:r>
      <w:rPr>
        <w:rFonts w:cstheme="minorHAnsi"/>
        <w:lang w:val="fr-FR"/>
      </w:rPr>
      <w:t>É</w:t>
    </w:r>
    <w:r>
      <w:rPr>
        <w:lang w:val="fr-FR"/>
      </w:rPr>
      <w:t>PAR</w:t>
    </w:r>
    <w:r>
      <w:rPr>
        <w:rFonts w:cstheme="minorHAnsi"/>
        <w:lang w:val="fr-FR"/>
      </w:rPr>
      <w:t>É</w:t>
    </w:r>
    <w:r>
      <w:rPr>
        <w:lang w:val="fr-FR"/>
      </w:rPr>
      <w:t>E</w:t>
    </w:r>
    <w:r w:rsidRPr="00443E37">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BA6008">
      <w:rPr>
        <w:rStyle w:val="Numeropagina"/>
        <w:noProof/>
        <w:lang w:val="fr-FR"/>
      </w:rPr>
      <w:t>15</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443E37"/>
    <w:rsid w:val="000041F8"/>
    <w:rsid w:val="000042A8"/>
    <w:rsid w:val="00004308"/>
    <w:rsid w:val="00004960"/>
    <w:rsid w:val="00005BF0"/>
    <w:rsid w:val="00007154"/>
    <w:rsid w:val="000103AE"/>
    <w:rsid w:val="00011D69"/>
    <w:rsid w:val="00012AD3"/>
    <w:rsid w:val="00014D96"/>
    <w:rsid w:val="00015C2D"/>
    <w:rsid w:val="00015F00"/>
    <w:rsid w:val="000169B6"/>
    <w:rsid w:val="00017338"/>
    <w:rsid w:val="00022C1D"/>
    <w:rsid w:val="00025FF5"/>
    <w:rsid w:val="00034987"/>
    <w:rsid w:val="00042CA8"/>
    <w:rsid w:val="000602DF"/>
    <w:rsid w:val="00061A30"/>
    <w:rsid w:val="00061B05"/>
    <w:rsid w:val="000632D5"/>
    <w:rsid w:val="000644EE"/>
    <w:rsid w:val="00066A71"/>
    <w:rsid w:val="00076BB4"/>
    <w:rsid w:val="00083280"/>
    <w:rsid w:val="00091746"/>
    <w:rsid w:val="000925AD"/>
    <w:rsid w:val="000A24EB"/>
    <w:rsid w:val="000A760A"/>
    <w:rsid w:val="000B2A8D"/>
    <w:rsid w:val="000B2BC1"/>
    <w:rsid w:val="000B587F"/>
    <w:rsid w:val="000B6923"/>
    <w:rsid w:val="000C5F3C"/>
    <w:rsid w:val="000C6DCC"/>
    <w:rsid w:val="000D47AA"/>
    <w:rsid w:val="000D721F"/>
    <w:rsid w:val="000E069B"/>
    <w:rsid w:val="000E0E82"/>
    <w:rsid w:val="000E1DC5"/>
    <w:rsid w:val="000E223F"/>
    <w:rsid w:val="000E5EE0"/>
    <w:rsid w:val="000E7D45"/>
    <w:rsid w:val="000F00EF"/>
    <w:rsid w:val="000F5692"/>
    <w:rsid w:val="000F7851"/>
    <w:rsid w:val="001043EC"/>
    <w:rsid w:val="00104E23"/>
    <w:rsid w:val="00110031"/>
    <w:rsid w:val="0011116C"/>
    <w:rsid w:val="00111B0C"/>
    <w:rsid w:val="00120D6C"/>
    <w:rsid w:val="0012397A"/>
    <w:rsid w:val="001257EC"/>
    <w:rsid w:val="00131A8D"/>
    <w:rsid w:val="00133D33"/>
    <w:rsid w:val="00134D64"/>
    <w:rsid w:val="001350E3"/>
    <w:rsid w:val="001351BD"/>
    <w:rsid w:val="0013544E"/>
    <w:rsid w:val="00135A30"/>
    <w:rsid w:val="0013612C"/>
    <w:rsid w:val="00137FF6"/>
    <w:rsid w:val="00141650"/>
    <w:rsid w:val="001516A3"/>
    <w:rsid w:val="0016174F"/>
    <w:rsid w:val="00162A12"/>
    <w:rsid w:val="00162B08"/>
    <w:rsid w:val="00163826"/>
    <w:rsid w:val="001658A8"/>
    <w:rsid w:val="00166530"/>
    <w:rsid w:val="00177DBF"/>
    <w:rsid w:val="001832BD"/>
    <w:rsid w:val="00183C04"/>
    <w:rsid w:val="001852F9"/>
    <w:rsid w:val="00186CC5"/>
    <w:rsid w:val="00191053"/>
    <w:rsid w:val="001943B5"/>
    <w:rsid w:val="00195134"/>
    <w:rsid w:val="001967BB"/>
    <w:rsid w:val="001A145B"/>
    <w:rsid w:val="001A643B"/>
    <w:rsid w:val="001A674C"/>
    <w:rsid w:val="001B26E1"/>
    <w:rsid w:val="001B3B24"/>
    <w:rsid w:val="001B5B0C"/>
    <w:rsid w:val="001C0F98"/>
    <w:rsid w:val="001C2A42"/>
    <w:rsid w:val="001C41FA"/>
    <w:rsid w:val="001D63ED"/>
    <w:rsid w:val="001D7348"/>
    <w:rsid w:val="001E035B"/>
    <w:rsid w:val="001E0961"/>
    <w:rsid w:val="001E272C"/>
    <w:rsid w:val="001E3EAE"/>
    <w:rsid w:val="001E6F32"/>
    <w:rsid w:val="001F2145"/>
    <w:rsid w:val="001F4E43"/>
    <w:rsid w:val="001F6262"/>
    <w:rsid w:val="001F67B0"/>
    <w:rsid w:val="001F7B3D"/>
    <w:rsid w:val="00205466"/>
    <w:rsid w:val="00205F9F"/>
    <w:rsid w:val="00210338"/>
    <w:rsid w:val="002115FC"/>
    <w:rsid w:val="0021423C"/>
    <w:rsid w:val="0022109F"/>
    <w:rsid w:val="00230D00"/>
    <w:rsid w:val="00231DF7"/>
    <w:rsid w:val="00231FD1"/>
    <w:rsid w:val="002339E0"/>
    <w:rsid w:val="00233CF8"/>
    <w:rsid w:val="0023575D"/>
    <w:rsid w:val="00237148"/>
    <w:rsid w:val="0024222D"/>
    <w:rsid w:val="00244B0E"/>
    <w:rsid w:val="00244F6C"/>
    <w:rsid w:val="002532C5"/>
    <w:rsid w:val="00255BA1"/>
    <w:rsid w:val="00260C03"/>
    <w:rsid w:val="0026540E"/>
    <w:rsid w:val="00272907"/>
    <w:rsid w:val="00275123"/>
    <w:rsid w:val="00282240"/>
    <w:rsid w:val="00283514"/>
    <w:rsid w:val="00287773"/>
    <w:rsid w:val="00287A33"/>
    <w:rsid w:val="00291379"/>
    <w:rsid w:val="002948AD"/>
    <w:rsid w:val="002A01CC"/>
    <w:rsid w:val="002A297D"/>
    <w:rsid w:val="002A61B1"/>
    <w:rsid w:val="002A663C"/>
    <w:rsid w:val="002A67C8"/>
    <w:rsid w:val="002B171C"/>
    <w:rsid w:val="002B444B"/>
    <w:rsid w:val="002B5887"/>
    <w:rsid w:val="002B6C40"/>
    <w:rsid w:val="002B757D"/>
    <w:rsid w:val="002C0E27"/>
    <w:rsid w:val="002C3040"/>
    <w:rsid w:val="002D022D"/>
    <w:rsid w:val="002D23B6"/>
    <w:rsid w:val="002D24BB"/>
    <w:rsid w:val="002D3923"/>
    <w:rsid w:val="002E02CB"/>
    <w:rsid w:val="002F2AF7"/>
    <w:rsid w:val="002F7E1C"/>
    <w:rsid w:val="00301A75"/>
    <w:rsid w:val="00302F70"/>
    <w:rsid w:val="0030336F"/>
    <w:rsid w:val="0030375E"/>
    <w:rsid w:val="00304E90"/>
    <w:rsid w:val="003065EB"/>
    <w:rsid w:val="003121E1"/>
    <w:rsid w:val="00312A30"/>
    <w:rsid w:val="003169B0"/>
    <w:rsid w:val="003204E2"/>
    <w:rsid w:val="00320F72"/>
    <w:rsid w:val="0032463E"/>
    <w:rsid w:val="00324FD4"/>
    <w:rsid w:val="003257B8"/>
    <w:rsid w:val="00326224"/>
    <w:rsid w:val="00333DDE"/>
    <w:rsid w:val="00337EE4"/>
    <w:rsid w:val="003402E7"/>
    <w:rsid w:val="0034082E"/>
    <w:rsid w:val="00340FFD"/>
    <w:rsid w:val="003506B1"/>
    <w:rsid w:val="00350CC7"/>
    <w:rsid w:val="00354F8C"/>
    <w:rsid w:val="00356AC7"/>
    <w:rsid w:val="003609FA"/>
    <w:rsid w:val="003710C8"/>
    <w:rsid w:val="0037392B"/>
    <w:rsid w:val="003750BE"/>
    <w:rsid w:val="00387B9D"/>
    <w:rsid w:val="0039364F"/>
    <w:rsid w:val="00396686"/>
    <w:rsid w:val="0039778E"/>
    <w:rsid w:val="003A004E"/>
    <w:rsid w:val="003B2814"/>
    <w:rsid w:val="003B3C2E"/>
    <w:rsid w:val="003B4941"/>
    <w:rsid w:val="003C0DFA"/>
    <w:rsid w:val="003C5714"/>
    <w:rsid w:val="003C6B9F"/>
    <w:rsid w:val="003C6E2A"/>
    <w:rsid w:val="003D0299"/>
    <w:rsid w:val="003D0D5D"/>
    <w:rsid w:val="003E6D80"/>
    <w:rsid w:val="003F05FA"/>
    <w:rsid w:val="003F244A"/>
    <w:rsid w:val="003F30B8"/>
    <w:rsid w:val="003F4C45"/>
    <w:rsid w:val="003F5F7B"/>
    <w:rsid w:val="003F60C7"/>
    <w:rsid w:val="003F7D64"/>
    <w:rsid w:val="00402EF7"/>
    <w:rsid w:val="00402F33"/>
    <w:rsid w:val="00414300"/>
    <w:rsid w:val="004147EA"/>
    <w:rsid w:val="004234D7"/>
    <w:rsid w:val="00425C67"/>
    <w:rsid w:val="00427E7A"/>
    <w:rsid w:val="00431A10"/>
    <w:rsid w:val="00431C18"/>
    <w:rsid w:val="00434EC4"/>
    <w:rsid w:val="00436C49"/>
    <w:rsid w:val="00443E37"/>
    <w:rsid w:val="00445366"/>
    <w:rsid w:val="00447F5B"/>
    <w:rsid w:val="0045067D"/>
    <w:rsid w:val="00451323"/>
    <w:rsid w:val="00455777"/>
    <w:rsid w:val="0046083C"/>
    <w:rsid w:val="00460B75"/>
    <w:rsid w:val="00461DB0"/>
    <w:rsid w:val="00463926"/>
    <w:rsid w:val="004645E7"/>
    <w:rsid w:val="004646FC"/>
    <w:rsid w:val="00464C9A"/>
    <w:rsid w:val="004708AC"/>
    <w:rsid w:val="004741F5"/>
    <w:rsid w:val="00474F3D"/>
    <w:rsid w:val="00477E3A"/>
    <w:rsid w:val="00483E5F"/>
    <w:rsid w:val="00485FF9"/>
    <w:rsid w:val="004907F0"/>
    <w:rsid w:val="0049140B"/>
    <w:rsid w:val="004923A5"/>
    <w:rsid w:val="00494D14"/>
    <w:rsid w:val="00496BFB"/>
    <w:rsid w:val="004A0CF7"/>
    <w:rsid w:val="004A1140"/>
    <w:rsid w:val="004A15C7"/>
    <w:rsid w:val="004A4DBC"/>
    <w:rsid w:val="004B013B"/>
    <w:rsid w:val="004B112B"/>
    <w:rsid w:val="004B299B"/>
    <w:rsid w:val="004B6C0A"/>
    <w:rsid w:val="004C01E4"/>
    <w:rsid w:val="004C086C"/>
    <w:rsid w:val="004C15B7"/>
    <w:rsid w:val="004C1F56"/>
    <w:rsid w:val="004C27BC"/>
    <w:rsid w:val="004C4AE5"/>
    <w:rsid w:val="004C52F2"/>
    <w:rsid w:val="004C59B2"/>
    <w:rsid w:val="004C6435"/>
    <w:rsid w:val="004D0F01"/>
    <w:rsid w:val="004D15F3"/>
    <w:rsid w:val="004D5311"/>
    <w:rsid w:val="004D5DCC"/>
    <w:rsid w:val="004E16A8"/>
    <w:rsid w:val="004E7260"/>
    <w:rsid w:val="004F10AF"/>
    <w:rsid w:val="004F11A4"/>
    <w:rsid w:val="004F2389"/>
    <w:rsid w:val="004F2979"/>
    <w:rsid w:val="004F304D"/>
    <w:rsid w:val="004F61BE"/>
    <w:rsid w:val="004F66B1"/>
    <w:rsid w:val="00502203"/>
    <w:rsid w:val="00511C07"/>
    <w:rsid w:val="005173A6"/>
    <w:rsid w:val="00520BAA"/>
    <w:rsid w:val="00525208"/>
    <w:rsid w:val="005257A5"/>
    <w:rsid w:val="005264C0"/>
    <w:rsid w:val="00526A8A"/>
    <w:rsid w:val="00531DF2"/>
    <w:rsid w:val="00535DF8"/>
    <w:rsid w:val="00536786"/>
    <w:rsid w:val="005442EE"/>
    <w:rsid w:val="00547353"/>
    <w:rsid w:val="005474E7"/>
    <w:rsid w:val="005512A3"/>
    <w:rsid w:val="00552852"/>
    <w:rsid w:val="005574B5"/>
    <w:rsid w:val="005578CE"/>
    <w:rsid w:val="00562781"/>
    <w:rsid w:val="00563B24"/>
    <w:rsid w:val="00571DC6"/>
    <w:rsid w:val="0057271C"/>
    <w:rsid w:val="00572845"/>
    <w:rsid w:val="00574005"/>
    <w:rsid w:val="00574C83"/>
    <w:rsid w:val="00575EAE"/>
    <w:rsid w:val="00592772"/>
    <w:rsid w:val="0059574A"/>
    <w:rsid w:val="00596468"/>
    <w:rsid w:val="00596B0F"/>
    <w:rsid w:val="00596F2E"/>
    <w:rsid w:val="005A02CB"/>
    <w:rsid w:val="005A1B9B"/>
    <w:rsid w:val="005A6751"/>
    <w:rsid w:val="005B092E"/>
    <w:rsid w:val="005B0FB6"/>
    <w:rsid w:val="005B152C"/>
    <w:rsid w:val="005B1EE0"/>
    <w:rsid w:val="005B2B24"/>
    <w:rsid w:val="005B3B6C"/>
    <w:rsid w:val="005B4425"/>
    <w:rsid w:val="005B4B94"/>
    <w:rsid w:val="005B4DC5"/>
    <w:rsid w:val="005C3EE8"/>
    <w:rsid w:val="005C60BE"/>
    <w:rsid w:val="005C6A55"/>
    <w:rsid w:val="005D1B2F"/>
    <w:rsid w:val="005D34F9"/>
    <w:rsid w:val="005D4190"/>
    <w:rsid w:val="005D67A3"/>
    <w:rsid w:val="005E1647"/>
    <w:rsid w:val="005E2988"/>
    <w:rsid w:val="005E3085"/>
    <w:rsid w:val="005E37C6"/>
    <w:rsid w:val="005E499F"/>
    <w:rsid w:val="005F279E"/>
    <w:rsid w:val="005F51E1"/>
    <w:rsid w:val="00611C80"/>
    <w:rsid w:val="00616DEE"/>
    <w:rsid w:val="00620692"/>
    <w:rsid w:val="006215A3"/>
    <w:rsid w:val="006242CA"/>
    <w:rsid w:val="006266ED"/>
    <w:rsid w:val="00627507"/>
    <w:rsid w:val="00630395"/>
    <w:rsid w:val="006306D2"/>
    <w:rsid w:val="00633717"/>
    <w:rsid w:val="006344E1"/>
    <w:rsid w:val="00640DCD"/>
    <w:rsid w:val="0064138F"/>
    <w:rsid w:val="00642C85"/>
    <w:rsid w:val="0065298D"/>
    <w:rsid w:val="006540BE"/>
    <w:rsid w:val="006545C4"/>
    <w:rsid w:val="00655657"/>
    <w:rsid w:val="00661971"/>
    <w:rsid w:val="00661CE8"/>
    <w:rsid w:val="006621C7"/>
    <w:rsid w:val="006623D9"/>
    <w:rsid w:val="0066550C"/>
    <w:rsid w:val="00667B26"/>
    <w:rsid w:val="006716F2"/>
    <w:rsid w:val="00676F5A"/>
    <w:rsid w:val="00676FB5"/>
    <w:rsid w:val="00681DD3"/>
    <w:rsid w:val="00682BF2"/>
    <w:rsid w:val="006859CE"/>
    <w:rsid w:val="00691270"/>
    <w:rsid w:val="00694A2E"/>
    <w:rsid w:val="00694BA8"/>
    <w:rsid w:val="006A037C"/>
    <w:rsid w:val="006A2B96"/>
    <w:rsid w:val="006A36F4"/>
    <w:rsid w:val="006A406F"/>
    <w:rsid w:val="006A5D3A"/>
    <w:rsid w:val="006B05D2"/>
    <w:rsid w:val="006B6854"/>
    <w:rsid w:val="006C1BCB"/>
    <w:rsid w:val="006C23D4"/>
    <w:rsid w:val="006C64BE"/>
    <w:rsid w:val="006C7BB0"/>
    <w:rsid w:val="006D3237"/>
    <w:rsid w:val="006D7293"/>
    <w:rsid w:val="006E1D13"/>
    <w:rsid w:val="006E2021"/>
    <w:rsid w:val="006E2E37"/>
    <w:rsid w:val="006E3CF1"/>
    <w:rsid w:val="006E7E80"/>
    <w:rsid w:val="006F1565"/>
    <w:rsid w:val="006F48CA"/>
    <w:rsid w:val="006F64DD"/>
    <w:rsid w:val="0070506D"/>
    <w:rsid w:val="00711B9F"/>
    <w:rsid w:val="00715127"/>
    <w:rsid w:val="00715E8E"/>
    <w:rsid w:val="007167E6"/>
    <w:rsid w:val="00717C3B"/>
    <w:rsid w:val="00720827"/>
    <w:rsid w:val="00720DCD"/>
    <w:rsid w:val="00721D52"/>
    <w:rsid w:val="00723580"/>
    <w:rsid w:val="00723755"/>
    <w:rsid w:val="0073136C"/>
    <w:rsid w:val="00731F0F"/>
    <w:rsid w:val="00733250"/>
    <w:rsid w:val="00741404"/>
    <w:rsid w:val="00743DB9"/>
    <w:rsid w:val="007449E5"/>
    <w:rsid w:val="00747FF0"/>
    <w:rsid w:val="00753CFE"/>
    <w:rsid w:val="00755525"/>
    <w:rsid w:val="00761E38"/>
    <w:rsid w:val="00764D4E"/>
    <w:rsid w:val="00765A1F"/>
    <w:rsid w:val="00771E71"/>
    <w:rsid w:val="00775B6D"/>
    <w:rsid w:val="00776D68"/>
    <w:rsid w:val="007850EE"/>
    <w:rsid w:val="00785B95"/>
    <w:rsid w:val="00787243"/>
    <w:rsid w:val="00790E96"/>
    <w:rsid w:val="00793366"/>
    <w:rsid w:val="007952DA"/>
    <w:rsid w:val="007A716F"/>
    <w:rsid w:val="007B171D"/>
    <w:rsid w:val="007B270A"/>
    <w:rsid w:val="007B4643"/>
    <w:rsid w:val="007B4B56"/>
    <w:rsid w:val="007C0695"/>
    <w:rsid w:val="007C0A66"/>
    <w:rsid w:val="007C419A"/>
    <w:rsid w:val="007C4CC8"/>
    <w:rsid w:val="007C5426"/>
    <w:rsid w:val="007C5798"/>
    <w:rsid w:val="007D4832"/>
    <w:rsid w:val="007D63C1"/>
    <w:rsid w:val="007E21B2"/>
    <w:rsid w:val="007E2C4E"/>
    <w:rsid w:val="007E3ED4"/>
    <w:rsid w:val="007E48C2"/>
    <w:rsid w:val="007F1905"/>
    <w:rsid w:val="007F4F51"/>
    <w:rsid w:val="007F59F0"/>
    <w:rsid w:val="007F79D8"/>
    <w:rsid w:val="00801300"/>
    <w:rsid w:val="00802C64"/>
    <w:rsid w:val="00805E52"/>
    <w:rsid w:val="008061D0"/>
    <w:rsid w:val="00810B38"/>
    <w:rsid w:val="00811580"/>
    <w:rsid w:val="008204C7"/>
    <w:rsid w:val="00820992"/>
    <w:rsid w:val="00823602"/>
    <w:rsid w:val="00823CD3"/>
    <w:rsid w:val="008255F5"/>
    <w:rsid w:val="0083014E"/>
    <w:rsid w:val="0083214A"/>
    <w:rsid w:val="00834220"/>
    <w:rsid w:val="00840D3C"/>
    <w:rsid w:val="0084351A"/>
    <w:rsid w:val="00845723"/>
    <w:rsid w:val="00851EF9"/>
    <w:rsid w:val="00853C43"/>
    <w:rsid w:val="00857399"/>
    <w:rsid w:val="008577FD"/>
    <w:rsid w:val="00860B03"/>
    <w:rsid w:val="0086497A"/>
    <w:rsid w:val="008713A1"/>
    <w:rsid w:val="00874D57"/>
    <w:rsid w:val="008754AB"/>
    <w:rsid w:val="0087591D"/>
    <w:rsid w:val="00875AB3"/>
    <w:rsid w:val="0088060C"/>
    <w:rsid w:val="00880AAE"/>
    <w:rsid w:val="00880E71"/>
    <w:rsid w:val="00883C68"/>
    <w:rsid w:val="00893576"/>
    <w:rsid w:val="00893E73"/>
    <w:rsid w:val="00896133"/>
    <w:rsid w:val="008B02DC"/>
    <w:rsid w:val="008B2F70"/>
    <w:rsid w:val="008B4D68"/>
    <w:rsid w:val="008B57CE"/>
    <w:rsid w:val="008C26DE"/>
    <w:rsid w:val="008D2225"/>
    <w:rsid w:val="008D264C"/>
    <w:rsid w:val="008D4752"/>
    <w:rsid w:val="008D60CB"/>
    <w:rsid w:val="008D7298"/>
    <w:rsid w:val="008E271C"/>
    <w:rsid w:val="008E418E"/>
    <w:rsid w:val="008E5BC6"/>
    <w:rsid w:val="008E6A25"/>
    <w:rsid w:val="008F3B4D"/>
    <w:rsid w:val="008F5193"/>
    <w:rsid w:val="009013A7"/>
    <w:rsid w:val="009017FB"/>
    <w:rsid w:val="009017FC"/>
    <w:rsid w:val="00902A97"/>
    <w:rsid w:val="0090506B"/>
    <w:rsid w:val="009050C9"/>
    <w:rsid w:val="009066FC"/>
    <w:rsid w:val="009140A3"/>
    <w:rsid w:val="009144A2"/>
    <w:rsid w:val="0091510C"/>
    <w:rsid w:val="009259AC"/>
    <w:rsid w:val="00926AD5"/>
    <w:rsid w:val="00926F38"/>
    <w:rsid w:val="00934301"/>
    <w:rsid w:val="00936C2D"/>
    <w:rsid w:val="00936CD1"/>
    <w:rsid w:val="00941747"/>
    <w:rsid w:val="00941EFB"/>
    <w:rsid w:val="00942FB5"/>
    <w:rsid w:val="00947AFB"/>
    <w:rsid w:val="00950B10"/>
    <w:rsid w:val="00951D7D"/>
    <w:rsid w:val="00954020"/>
    <w:rsid w:val="00955B24"/>
    <w:rsid w:val="009574A1"/>
    <w:rsid w:val="00960B32"/>
    <w:rsid w:val="00961F79"/>
    <w:rsid w:val="00962D66"/>
    <w:rsid w:val="009630C7"/>
    <w:rsid w:val="00972B55"/>
    <w:rsid w:val="0097300A"/>
    <w:rsid w:val="009743B7"/>
    <w:rsid w:val="009752C9"/>
    <w:rsid w:val="0098228B"/>
    <w:rsid w:val="009828DA"/>
    <w:rsid w:val="00983889"/>
    <w:rsid w:val="00985BAB"/>
    <w:rsid w:val="00987DD8"/>
    <w:rsid w:val="00991E17"/>
    <w:rsid w:val="009A1AEC"/>
    <w:rsid w:val="009A2E8E"/>
    <w:rsid w:val="009A6DF0"/>
    <w:rsid w:val="009B12E5"/>
    <w:rsid w:val="009B1B5F"/>
    <w:rsid w:val="009B6673"/>
    <w:rsid w:val="009B6F63"/>
    <w:rsid w:val="009C191B"/>
    <w:rsid w:val="009C2BD6"/>
    <w:rsid w:val="009E1F32"/>
    <w:rsid w:val="009E776C"/>
    <w:rsid w:val="009E7D09"/>
    <w:rsid w:val="00A00144"/>
    <w:rsid w:val="00A1726E"/>
    <w:rsid w:val="00A17705"/>
    <w:rsid w:val="00A204CF"/>
    <w:rsid w:val="00A23D49"/>
    <w:rsid w:val="00A25D12"/>
    <w:rsid w:val="00A27004"/>
    <w:rsid w:val="00A30C29"/>
    <w:rsid w:val="00A34DD6"/>
    <w:rsid w:val="00A36819"/>
    <w:rsid w:val="00A36989"/>
    <w:rsid w:val="00A4250A"/>
    <w:rsid w:val="00A43308"/>
    <w:rsid w:val="00A43628"/>
    <w:rsid w:val="00A52098"/>
    <w:rsid w:val="00A54192"/>
    <w:rsid w:val="00A6035E"/>
    <w:rsid w:val="00A6144C"/>
    <w:rsid w:val="00A66617"/>
    <w:rsid w:val="00A671F8"/>
    <w:rsid w:val="00A673A4"/>
    <w:rsid w:val="00A67531"/>
    <w:rsid w:val="00A70BA4"/>
    <w:rsid w:val="00A724AE"/>
    <w:rsid w:val="00A73329"/>
    <w:rsid w:val="00A74BC1"/>
    <w:rsid w:val="00A82359"/>
    <w:rsid w:val="00A865D2"/>
    <w:rsid w:val="00A9456E"/>
    <w:rsid w:val="00A94C20"/>
    <w:rsid w:val="00A95042"/>
    <w:rsid w:val="00AA227F"/>
    <w:rsid w:val="00AA3606"/>
    <w:rsid w:val="00AA3BC7"/>
    <w:rsid w:val="00AA6CB1"/>
    <w:rsid w:val="00AA754A"/>
    <w:rsid w:val="00AB099E"/>
    <w:rsid w:val="00AB4328"/>
    <w:rsid w:val="00AC0824"/>
    <w:rsid w:val="00AC4EBF"/>
    <w:rsid w:val="00AD412E"/>
    <w:rsid w:val="00AE0A2E"/>
    <w:rsid w:val="00AE354C"/>
    <w:rsid w:val="00AF1385"/>
    <w:rsid w:val="00AF4B07"/>
    <w:rsid w:val="00AF5CC8"/>
    <w:rsid w:val="00AF6186"/>
    <w:rsid w:val="00AF7A3A"/>
    <w:rsid w:val="00B02197"/>
    <w:rsid w:val="00B043D8"/>
    <w:rsid w:val="00B05920"/>
    <w:rsid w:val="00B1345B"/>
    <w:rsid w:val="00B13A54"/>
    <w:rsid w:val="00B1508F"/>
    <w:rsid w:val="00B160DB"/>
    <w:rsid w:val="00B20836"/>
    <w:rsid w:val="00B228A8"/>
    <w:rsid w:val="00B235BB"/>
    <w:rsid w:val="00B275B6"/>
    <w:rsid w:val="00B27A44"/>
    <w:rsid w:val="00B30350"/>
    <w:rsid w:val="00B30BBF"/>
    <w:rsid w:val="00B33C03"/>
    <w:rsid w:val="00B44E56"/>
    <w:rsid w:val="00B46543"/>
    <w:rsid w:val="00B46840"/>
    <w:rsid w:val="00B47D33"/>
    <w:rsid w:val="00B52BE0"/>
    <w:rsid w:val="00B54133"/>
    <w:rsid w:val="00B55A10"/>
    <w:rsid w:val="00B56484"/>
    <w:rsid w:val="00B65F5E"/>
    <w:rsid w:val="00B701ED"/>
    <w:rsid w:val="00B74C28"/>
    <w:rsid w:val="00B8086C"/>
    <w:rsid w:val="00B810FA"/>
    <w:rsid w:val="00B861B4"/>
    <w:rsid w:val="00B86DFE"/>
    <w:rsid w:val="00B90990"/>
    <w:rsid w:val="00B911F4"/>
    <w:rsid w:val="00B922FF"/>
    <w:rsid w:val="00B9281E"/>
    <w:rsid w:val="00B93925"/>
    <w:rsid w:val="00B93ECF"/>
    <w:rsid w:val="00B95187"/>
    <w:rsid w:val="00B9776F"/>
    <w:rsid w:val="00BA2D55"/>
    <w:rsid w:val="00BA6008"/>
    <w:rsid w:val="00BA71B1"/>
    <w:rsid w:val="00BB032D"/>
    <w:rsid w:val="00BB0637"/>
    <w:rsid w:val="00BB345F"/>
    <w:rsid w:val="00BB3DF2"/>
    <w:rsid w:val="00BB68EA"/>
    <w:rsid w:val="00BC1C27"/>
    <w:rsid w:val="00BC4A8F"/>
    <w:rsid w:val="00BC5EB4"/>
    <w:rsid w:val="00BC6BBF"/>
    <w:rsid w:val="00BD0A33"/>
    <w:rsid w:val="00BD1572"/>
    <w:rsid w:val="00BD29F3"/>
    <w:rsid w:val="00BE14E3"/>
    <w:rsid w:val="00BE1C2B"/>
    <w:rsid w:val="00BE3774"/>
    <w:rsid w:val="00BE41E5"/>
    <w:rsid w:val="00BF4109"/>
    <w:rsid w:val="00BF4CC3"/>
    <w:rsid w:val="00BF72A1"/>
    <w:rsid w:val="00C054C7"/>
    <w:rsid w:val="00C057B5"/>
    <w:rsid w:val="00C06E15"/>
    <w:rsid w:val="00C11A2F"/>
    <w:rsid w:val="00C1262B"/>
    <w:rsid w:val="00C147D6"/>
    <w:rsid w:val="00C15E73"/>
    <w:rsid w:val="00C22687"/>
    <w:rsid w:val="00C2719A"/>
    <w:rsid w:val="00C32E4D"/>
    <w:rsid w:val="00C333A0"/>
    <w:rsid w:val="00C36408"/>
    <w:rsid w:val="00C36A81"/>
    <w:rsid w:val="00C41974"/>
    <w:rsid w:val="00C41CB4"/>
    <w:rsid w:val="00C53F4A"/>
    <w:rsid w:val="00C54125"/>
    <w:rsid w:val="00C55B54"/>
    <w:rsid w:val="00C564E8"/>
    <w:rsid w:val="00C6098E"/>
    <w:rsid w:val="00C611D8"/>
    <w:rsid w:val="00C6152C"/>
    <w:rsid w:val="00C63990"/>
    <w:rsid w:val="00C63F3F"/>
    <w:rsid w:val="00C64EF6"/>
    <w:rsid w:val="00C65050"/>
    <w:rsid w:val="00C74810"/>
    <w:rsid w:val="00C77914"/>
    <w:rsid w:val="00C82862"/>
    <w:rsid w:val="00C90D68"/>
    <w:rsid w:val="00C939FE"/>
    <w:rsid w:val="00CA0C7E"/>
    <w:rsid w:val="00CA1391"/>
    <w:rsid w:val="00CA4BDA"/>
    <w:rsid w:val="00CA58FC"/>
    <w:rsid w:val="00CB1F66"/>
    <w:rsid w:val="00CB2951"/>
    <w:rsid w:val="00CB70EB"/>
    <w:rsid w:val="00CB7AD0"/>
    <w:rsid w:val="00CC3FE5"/>
    <w:rsid w:val="00CC477B"/>
    <w:rsid w:val="00CC5AE3"/>
    <w:rsid w:val="00CC71E6"/>
    <w:rsid w:val="00CD0964"/>
    <w:rsid w:val="00CD282B"/>
    <w:rsid w:val="00CD28EB"/>
    <w:rsid w:val="00CD4C35"/>
    <w:rsid w:val="00CD5BEE"/>
    <w:rsid w:val="00CD7369"/>
    <w:rsid w:val="00CE0B0E"/>
    <w:rsid w:val="00CE3831"/>
    <w:rsid w:val="00CE5CC3"/>
    <w:rsid w:val="00CE6377"/>
    <w:rsid w:val="00CF1941"/>
    <w:rsid w:val="00D009A0"/>
    <w:rsid w:val="00D00ABB"/>
    <w:rsid w:val="00D027CC"/>
    <w:rsid w:val="00D02EEC"/>
    <w:rsid w:val="00D03551"/>
    <w:rsid w:val="00D06A63"/>
    <w:rsid w:val="00D07E0E"/>
    <w:rsid w:val="00D11478"/>
    <w:rsid w:val="00D12B41"/>
    <w:rsid w:val="00D15ED0"/>
    <w:rsid w:val="00D21846"/>
    <w:rsid w:val="00D21B3E"/>
    <w:rsid w:val="00D21FED"/>
    <w:rsid w:val="00D24251"/>
    <w:rsid w:val="00D250D7"/>
    <w:rsid w:val="00D25714"/>
    <w:rsid w:val="00D26532"/>
    <w:rsid w:val="00D26AB7"/>
    <w:rsid w:val="00D30574"/>
    <w:rsid w:val="00D343E2"/>
    <w:rsid w:val="00D361A2"/>
    <w:rsid w:val="00D37C1F"/>
    <w:rsid w:val="00D42AFF"/>
    <w:rsid w:val="00D44C2E"/>
    <w:rsid w:val="00D45414"/>
    <w:rsid w:val="00D461CC"/>
    <w:rsid w:val="00D566BD"/>
    <w:rsid w:val="00D576CF"/>
    <w:rsid w:val="00D57A4D"/>
    <w:rsid w:val="00D60566"/>
    <w:rsid w:val="00D60AA7"/>
    <w:rsid w:val="00D634EF"/>
    <w:rsid w:val="00D6435F"/>
    <w:rsid w:val="00D75E28"/>
    <w:rsid w:val="00D772C2"/>
    <w:rsid w:val="00D77EBB"/>
    <w:rsid w:val="00D8008E"/>
    <w:rsid w:val="00D82C45"/>
    <w:rsid w:val="00D87404"/>
    <w:rsid w:val="00D908A8"/>
    <w:rsid w:val="00D95320"/>
    <w:rsid w:val="00D977B6"/>
    <w:rsid w:val="00DA0308"/>
    <w:rsid w:val="00DA4A31"/>
    <w:rsid w:val="00DA7B04"/>
    <w:rsid w:val="00DB206E"/>
    <w:rsid w:val="00DB36C2"/>
    <w:rsid w:val="00DC169B"/>
    <w:rsid w:val="00DC1E89"/>
    <w:rsid w:val="00DC2AB9"/>
    <w:rsid w:val="00DC4169"/>
    <w:rsid w:val="00DC63F0"/>
    <w:rsid w:val="00DD4AAB"/>
    <w:rsid w:val="00DD5146"/>
    <w:rsid w:val="00DD6EE5"/>
    <w:rsid w:val="00DE386C"/>
    <w:rsid w:val="00DE4D35"/>
    <w:rsid w:val="00DE7AC3"/>
    <w:rsid w:val="00DF098B"/>
    <w:rsid w:val="00DF11C4"/>
    <w:rsid w:val="00DF210C"/>
    <w:rsid w:val="00DF3574"/>
    <w:rsid w:val="00DF4B6A"/>
    <w:rsid w:val="00DF4EDE"/>
    <w:rsid w:val="00E005E4"/>
    <w:rsid w:val="00E01E65"/>
    <w:rsid w:val="00E02C09"/>
    <w:rsid w:val="00E03B9F"/>
    <w:rsid w:val="00E0436C"/>
    <w:rsid w:val="00E0475A"/>
    <w:rsid w:val="00E04D59"/>
    <w:rsid w:val="00E07DA1"/>
    <w:rsid w:val="00E1090D"/>
    <w:rsid w:val="00E123CB"/>
    <w:rsid w:val="00E206EB"/>
    <w:rsid w:val="00E20E13"/>
    <w:rsid w:val="00E21DBC"/>
    <w:rsid w:val="00E22562"/>
    <w:rsid w:val="00E24C32"/>
    <w:rsid w:val="00E269C8"/>
    <w:rsid w:val="00E272FA"/>
    <w:rsid w:val="00E275D7"/>
    <w:rsid w:val="00E27DBE"/>
    <w:rsid w:val="00E31F4D"/>
    <w:rsid w:val="00E32AB1"/>
    <w:rsid w:val="00E33076"/>
    <w:rsid w:val="00E340FE"/>
    <w:rsid w:val="00E3668A"/>
    <w:rsid w:val="00E36C71"/>
    <w:rsid w:val="00E40404"/>
    <w:rsid w:val="00E40595"/>
    <w:rsid w:val="00E4529A"/>
    <w:rsid w:val="00E459C6"/>
    <w:rsid w:val="00E461DF"/>
    <w:rsid w:val="00E47199"/>
    <w:rsid w:val="00E47589"/>
    <w:rsid w:val="00E55904"/>
    <w:rsid w:val="00E63B3B"/>
    <w:rsid w:val="00E647E3"/>
    <w:rsid w:val="00E64915"/>
    <w:rsid w:val="00E649B7"/>
    <w:rsid w:val="00E661D4"/>
    <w:rsid w:val="00E70091"/>
    <w:rsid w:val="00E720F5"/>
    <w:rsid w:val="00E751DC"/>
    <w:rsid w:val="00E76D47"/>
    <w:rsid w:val="00E77CB3"/>
    <w:rsid w:val="00E82E2D"/>
    <w:rsid w:val="00E82FC7"/>
    <w:rsid w:val="00E8470C"/>
    <w:rsid w:val="00E849F7"/>
    <w:rsid w:val="00E8669C"/>
    <w:rsid w:val="00E90302"/>
    <w:rsid w:val="00E90D61"/>
    <w:rsid w:val="00E97396"/>
    <w:rsid w:val="00EA185E"/>
    <w:rsid w:val="00EA41EB"/>
    <w:rsid w:val="00EA592A"/>
    <w:rsid w:val="00EA643E"/>
    <w:rsid w:val="00EA6451"/>
    <w:rsid w:val="00EA6B8F"/>
    <w:rsid w:val="00EB14E4"/>
    <w:rsid w:val="00EB279B"/>
    <w:rsid w:val="00EB32A5"/>
    <w:rsid w:val="00EB34ED"/>
    <w:rsid w:val="00EB7BE0"/>
    <w:rsid w:val="00EB7E63"/>
    <w:rsid w:val="00EC20C3"/>
    <w:rsid w:val="00EC315E"/>
    <w:rsid w:val="00ED077C"/>
    <w:rsid w:val="00ED1190"/>
    <w:rsid w:val="00ED4E36"/>
    <w:rsid w:val="00ED4FF3"/>
    <w:rsid w:val="00ED5F73"/>
    <w:rsid w:val="00ED6544"/>
    <w:rsid w:val="00ED6C1D"/>
    <w:rsid w:val="00EE0277"/>
    <w:rsid w:val="00EE2BBC"/>
    <w:rsid w:val="00EE3E00"/>
    <w:rsid w:val="00EE5DD2"/>
    <w:rsid w:val="00EF0A2E"/>
    <w:rsid w:val="00EF267E"/>
    <w:rsid w:val="00EF3143"/>
    <w:rsid w:val="00EF4815"/>
    <w:rsid w:val="00EF63C2"/>
    <w:rsid w:val="00F00A79"/>
    <w:rsid w:val="00F00E86"/>
    <w:rsid w:val="00F038F4"/>
    <w:rsid w:val="00F03FF9"/>
    <w:rsid w:val="00F07043"/>
    <w:rsid w:val="00F07C1E"/>
    <w:rsid w:val="00F105DB"/>
    <w:rsid w:val="00F132BC"/>
    <w:rsid w:val="00F13319"/>
    <w:rsid w:val="00F13D80"/>
    <w:rsid w:val="00F161AF"/>
    <w:rsid w:val="00F16AAA"/>
    <w:rsid w:val="00F21161"/>
    <w:rsid w:val="00F218EF"/>
    <w:rsid w:val="00F21BC7"/>
    <w:rsid w:val="00F22F3C"/>
    <w:rsid w:val="00F266A2"/>
    <w:rsid w:val="00F32269"/>
    <w:rsid w:val="00F43D14"/>
    <w:rsid w:val="00F52E96"/>
    <w:rsid w:val="00F54823"/>
    <w:rsid w:val="00F56A6F"/>
    <w:rsid w:val="00F5709C"/>
    <w:rsid w:val="00F570D0"/>
    <w:rsid w:val="00F64CE2"/>
    <w:rsid w:val="00F64EF1"/>
    <w:rsid w:val="00F73DA8"/>
    <w:rsid w:val="00F74AD0"/>
    <w:rsid w:val="00F84277"/>
    <w:rsid w:val="00F84D92"/>
    <w:rsid w:val="00F8765F"/>
    <w:rsid w:val="00F90767"/>
    <w:rsid w:val="00FA0117"/>
    <w:rsid w:val="00FA685B"/>
    <w:rsid w:val="00FA703B"/>
    <w:rsid w:val="00FA728B"/>
    <w:rsid w:val="00FB0C01"/>
    <w:rsid w:val="00FB1513"/>
    <w:rsid w:val="00FB2B45"/>
    <w:rsid w:val="00FB4ACF"/>
    <w:rsid w:val="00FB5FBC"/>
    <w:rsid w:val="00FC18F2"/>
    <w:rsid w:val="00FC27E6"/>
    <w:rsid w:val="00FC30F0"/>
    <w:rsid w:val="00FC39E5"/>
    <w:rsid w:val="00FC3A78"/>
    <w:rsid w:val="00FC51E5"/>
    <w:rsid w:val="00FD1005"/>
    <w:rsid w:val="00FD3025"/>
    <w:rsid w:val="00FD6C75"/>
    <w:rsid w:val="00FE0E0A"/>
    <w:rsid w:val="00FE218D"/>
    <w:rsid w:val="00FE6FD1"/>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CB7AD0"/>
    <w:pPr>
      <w:jc w:val="both"/>
    </w:pPr>
    <w:rPr>
      <w:rFonts w:eastAsiaTheme="minorEastAsia"/>
      <w:sz w:val="24"/>
    </w:rPr>
  </w:style>
  <w:style w:type="paragraph" w:styleId="Titolo1">
    <w:name w:val="heading 1"/>
    <w:basedOn w:val="Normale"/>
    <w:next w:val="Normale"/>
    <w:link w:val="Titolo1Carattere"/>
    <w:uiPriority w:val="99"/>
    <w:semiHidden/>
    <w:rsid w:val="0016174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6174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6174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6174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CB7AD0"/>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16174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CB7AD0"/>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CB7AD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CB7AD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617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174F"/>
    <w:rPr>
      <w:rFonts w:ascii="Tahoma" w:eastAsiaTheme="minorEastAsia" w:hAnsi="Tahoma" w:cs="Tahoma"/>
      <w:sz w:val="16"/>
      <w:szCs w:val="16"/>
    </w:rPr>
  </w:style>
  <w:style w:type="character" w:styleId="Titolodellibro">
    <w:name w:val="Book Title"/>
    <w:uiPriority w:val="99"/>
    <w:semiHidden/>
    <w:qFormat/>
    <w:rsid w:val="00CB7AD0"/>
    <w:rPr>
      <w:i/>
      <w:iCs/>
      <w:smallCaps/>
      <w:spacing w:val="5"/>
    </w:rPr>
  </w:style>
  <w:style w:type="paragraph" w:customStyle="1" w:styleId="ECHRHeader">
    <w:name w:val="ECHR_Header"/>
    <w:aliases w:val="Ju_Header"/>
    <w:basedOn w:val="Intestazione"/>
    <w:uiPriority w:val="4"/>
    <w:qFormat/>
    <w:rsid w:val="00CB7AD0"/>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16174F"/>
    <w:pPr>
      <w:jc w:val="left"/>
    </w:pPr>
    <w:rPr>
      <w:sz w:val="8"/>
    </w:rPr>
  </w:style>
  <w:style w:type="character" w:styleId="Enfasigrassetto">
    <w:name w:val="Strong"/>
    <w:uiPriority w:val="99"/>
    <w:semiHidden/>
    <w:qFormat/>
    <w:rsid w:val="00CB7AD0"/>
    <w:rPr>
      <w:b/>
      <w:bCs/>
    </w:rPr>
  </w:style>
  <w:style w:type="paragraph" w:styleId="Nessunaspaziatura">
    <w:name w:val="No Spacing"/>
    <w:basedOn w:val="Normale"/>
    <w:link w:val="NessunaspaziaturaCarattere"/>
    <w:semiHidden/>
    <w:qFormat/>
    <w:rsid w:val="00CB7AD0"/>
    <w:rPr>
      <w:sz w:val="22"/>
    </w:rPr>
  </w:style>
  <w:style w:type="character" w:customStyle="1" w:styleId="NessunaspaziaturaCarattere">
    <w:name w:val="Nessuna spaziatura Carattere"/>
    <w:basedOn w:val="Carpredefinitoparagrafo"/>
    <w:link w:val="Nessunaspaziatura"/>
    <w:semiHidden/>
    <w:rsid w:val="00CB7AD0"/>
    <w:rPr>
      <w:rFonts w:eastAsiaTheme="minorEastAsia"/>
    </w:rPr>
  </w:style>
  <w:style w:type="paragraph" w:customStyle="1" w:styleId="ECHRFooterLine">
    <w:name w:val="ECHR_Footer_Line"/>
    <w:aliases w:val="Footer_Line"/>
    <w:basedOn w:val="Normale"/>
    <w:next w:val="ECHRFooter"/>
    <w:uiPriority w:val="57"/>
    <w:semiHidden/>
    <w:rsid w:val="0016174F"/>
    <w:pPr>
      <w:pBdr>
        <w:top w:val="single" w:sz="6" w:space="1" w:color="5F5F5F"/>
      </w:pBdr>
      <w:tabs>
        <w:tab w:val="center" w:pos="4536"/>
        <w:tab w:val="right" w:pos="9696"/>
      </w:tabs>
      <w:ind w:left="-680" w:right="-680"/>
      <w:jc w:val="left"/>
    </w:pPr>
    <w:rPr>
      <w:color w:val="5F5F5F"/>
    </w:rPr>
  </w:style>
  <w:style w:type="paragraph" w:customStyle="1" w:styleId="OpiPara">
    <w:name w:val="Opi_Para"/>
    <w:basedOn w:val="ECHRPara"/>
    <w:uiPriority w:val="46"/>
    <w:qFormat/>
    <w:rsid w:val="00CB7AD0"/>
  </w:style>
  <w:style w:type="paragraph" w:customStyle="1" w:styleId="OpiParaSub">
    <w:name w:val="Opi_Para_Sub"/>
    <w:basedOn w:val="JuParaSub"/>
    <w:uiPriority w:val="47"/>
    <w:qFormat/>
    <w:rsid w:val="00CB7AD0"/>
  </w:style>
  <w:style w:type="paragraph" w:customStyle="1" w:styleId="JuParaSub">
    <w:name w:val="Ju_Para_Sub"/>
    <w:basedOn w:val="ECHRPara"/>
    <w:uiPriority w:val="13"/>
    <w:qFormat/>
    <w:rsid w:val="00CB7AD0"/>
    <w:pPr>
      <w:ind w:left="284"/>
    </w:pPr>
  </w:style>
  <w:style w:type="paragraph" w:customStyle="1" w:styleId="ECHRTitleCentre3">
    <w:name w:val="ECHR_Title_Centre_3"/>
    <w:aliases w:val="Ju_H_Article"/>
    <w:basedOn w:val="Normale"/>
    <w:next w:val="ECHRParaQuote"/>
    <w:uiPriority w:val="27"/>
    <w:qFormat/>
    <w:rsid w:val="00CB7AD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CB7AD0"/>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qFormat/>
    <w:rsid w:val="00CB7AD0"/>
  </w:style>
  <w:style w:type="paragraph" w:customStyle="1" w:styleId="OpiQuotSub">
    <w:name w:val="Opi_Quot_Sub"/>
    <w:basedOn w:val="JuQuotSub"/>
    <w:uiPriority w:val="49"/>
    <w:qFormat/>
    <w:rsid w:val="00CB7AD0"/>
  </w:style>
  <w:style w:type="paragraph" w:customStyle="1" w:styleId="OpiHA">
    <w:name w:val="Opi_H_A"/>
    <w:basedOn w:val="ECHRHeading1"/>
    <w:next w:val="OpiPara"/>
    <w:uiPriority w:val="41"/>
    <w:qFormat/>
    <w:rsid w:val="00CB7AD0"/>
    <w:pPr>
      <w:tabs>
        <w:tab w:val="clear" w:pos="357"/>
      </w:tabs>
      <w:outlineLvl w:val="1"/>
    </w:pPr>
    <w:rPr>
      <w:b/>
    </w:rPr>
  </w:style>
  <w:style w:type="paragraph" w:customStyle="1" w:styleId="ECHRTitleCentre2">
    <w:name w:val="ECHR_Title_Centre_2"/>
    <w:aliases w:val="Dec_H_Case"/>
    <w:basedOn w:val="Normale"/>
    <w:next w:val="ECHRPara"/>
    <w:uiPriority w:val="8"/>
    <w:rsid w:val="0016174F"/>
    <w:pPr>
      <w:spacing w:after="240"/>
      <w:jc w:val="center"/>
      <w:outlineLvl w:val="0"/>
    </w:pPr>
    <w:rPr>
      <w:rFonts w:asciiTheme="majorHAnsi" w:hAnsiTheme="majorHAnsi"/>
    </w:rPr>
  </w:style>
  <w:style w:type="character" w:customStyle="1" w:styleId="JUNAMES">
    <w:name w:val="JU_NAMES"/>
    <w:uiPriority w:val="17"/>
    <w:qFormat/>
    <w:rsid w:val="00CB7AD0"/>
    <w:rPr>
      <w:caps w:val="0"/>
      <w:smallCaps/>
    </w:rPr>
  </w:style>
  <w:style w:type="paragraph" w:styleId="Titolo">
    <w:name w:val="Title"/>
    <w:basedOn w:val="Normale"/>
    <w:next w:val="Normale"/>
    <w:link w:val="TitoloCarattere"/>
    <w:uiPriority w:val="99"/>
    <w:semiHidden/>
    <w:qFormat/>
    <w:rsid w:val="00CB7AD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CB7AD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CB7AD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CB7AD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CB7AD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CB7AD0"/>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CB7AD0"/>
    <w:pPr>
      <w:keepNext/>
      <w:keepLines/>
      <w:spacing w:before="240" w:after="120"/>
      <w:ind w:left="1236"/>
    </w:pPr>
    <w:rPr>
      <w:sz w:val="20"/>
    </w:rPr>
  </w:style>
  <w:style w:type="paragraph" w:customStyle="1" w:styleId="JuQuotSub">
    <w:name w:val="Ju_Quot_Sub"/>
    <w:basedOn w:val="ECHRParaQuote"/>
    <w:uiPriority w:val="15"/>
    <w:qFormat/>
    <w:rsid w:val="00CB7AD0"/>
    <w:pPr>
      <w:ind w:left="567"/>
    </w:pPr>
  </w:style>
  <w:style w:type="paragraph" w:customStyle="1" w:styleId="JuInitialled">
    <w:name w:val="Ju_Initialled"/>
    <w:basedOn w:val="Normale"/>
    <w:uiPriority w:val="31"/>
    <w:qFormat/>
    <w:rsid w:val="00CB7AD0"/>
    <w:pPr>
      <w:tabs>
        <w:tab w:val="center" w:pos="6407"/>
      </w:tabs>
      <w:spacing w:before="720"/>
      <w:jc w:val="right"/>
    </w:pPr>
  </w:style>
  <w:style w:type="character" w:customStyle="1" w:styleId="JuITMark">
    <w:name w:val="Ju_ITMark"/>
    <w:basedOn w:val="Carpredefinitoparagrafo"/>
    <w:uiPriority w:val="38"/>
    <w:qFormat/>
    <w:rsid w:val="00CB7AD0"/>
    <w:rPr>
      <w:vanish w:val="0"/>
      <w:color w:val="auto"/>
      <w:sz w:val="14"/>
    </w:rPr>
  </w:style>
  <w:style w:type="paragraph" w:styleId="Intestazione">
    <w:name w:val="header"/>
    <w:basedOn w:val="Normale"/>
    <w:link w:val="IntestazioneCarattere"/>
    <w:uiPriority w:val="57"/>
    <w:semiHidden/>
    <w:rsid w:val="0016174F"/>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16174F"/>
    <w:rPr>
      <w:sz w:val="24"/>
    </w:rPr>
  </w:style>
  <w:style w:type="character" w:customStyle="1" w:styleId="Titolo1Carattere">
    <w:name w:val="Titolo 1 Carattere"/>
    <w:basedOn w:val="Carpredefinitoparagrafo"/>
    <w:link w:val="Titolo1"/>
    <w:uiPriority w:val="99"/>
    <w:semiHidden/>
    <w:rsid w:val="0016174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CB7AD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CB7AD0"/>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16174F"/>
    <w:rPr>
      <w:rFonts w:asciiTheme="majorHAnsi" w:eastAsiaTheme="majorEastAsia" w:hAnsiTheme="majorHAnsi" w:cstheme="majorBidi"/>
      <w:b/>
      <w:bCs/>
      <w:color w:val="4D4D4D"/>
      <w:sz w:val="26"/>
      <w:szCs w:val="26"/>
    </w:rPr>
  </w:style>
  <w:style w:type="paragraph" w:customStyle="1" w:styleId="OpiTranslation">
    <w:name w:val="Opi_Translation"/>
    <w:basedOn w:val="Normale"/>
    <w:next w:val="OpiPara"/>
    <w:uiPriority w:val="40"/>
    <w:qFormat/>
    <w:rsid w:val="00CB7AD0"/>
    <w:pPr>
      <w:jc w:val="center"/>
      <w:outlineLvl w:val="0"/>
    </w:pPr>
    <w:rPr>
      <w:i/>
    </w:rPr>
  </w:style>
  <w:style w:type="paragraph" w:customStyle="1" w:styleId="ECHRDecisionBody">
    <w:name w:val="ECHR_Decision_Body"/>
    <w:aliases w:val="Ju_Judges"/>
    <w:basedOn w:val="Normale"/>
    <w:uiPriority w:val="11"/>
    <w:qFormat/>
    <w:rsid w:val="00CB7AD0"/>
    <w:pPr>
      <w:tabs>
        <w:tab w:val="left" w:pos="567"/>
        <w:tab w:val="left" w:pos="1134"/>
      </w:tabs>
      <w:jc w:val="left"/>
    </w:pPr>
  </w:style>
  <w:style w:type="character" w:customStyle="1" w:styleId="Titolo3Carattere">
    <w:name w:val="Titolo 3 Carattere"/>
    <w:basedOn w:val="Carpredefinitoparagrafo"/>
    <w:link w:val="Titolo3"/>
    <w:uiPriority w:val="99"/>
    <w:semiHidden/>
    <w:rsid w:val="0016174F"/>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CB7AD0"/>
    <w:pPr>
      <w:ind w:firstLine="284"/>
    </w:pPr>
  </w:style>
  <w:style w:type="character" w:customStyle="1" w:styleId="Titolo4Carattere">
    <w:name w:val="Titolo 4 Carattere"/>
    <w:basedOn w:val="Carpredefinitoparagrafo"/>
    <w:link w:val="Titolo4"/>
    <w:uiPriority w:val="99"/>
    <w:semiHidden/>
    <w:rsid w:val="0016174F"/>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CB7AD0"/>
    <w:rPr>
      <w:rFonts w:asciiTheme="majorHAnsi" w:eastAsiaTheme="majorEastAsia" w:hAnsiTheme="majorHAnsi" w:cstheme="majorBidi"/>
      <w:b/>
      <w:bCs/>
      <w:color w:val="808080"/>
    </w:rPr>
  </w:style>
  <w:style w:type="character" w:styleId="Enfasidelicata">
    <w:name w:val="Subtle Emphasis"/>
    <w:uiPriority w:val="99"/>
    <w:semiHidden/>
    <w:qFormat/>
    <w:rsid w:val="00CB7AD0"/>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CB7AD0"/>
    <w:pPr>
      <w:keepNext/>
      <w:keepLines/>
      <w:spacing w:before="720" w:after="240"/>
      <w:outlineLvl w:val="0"/>
    </w:pPr>
    <w:rPr>
      <w:rFonts w:asciiTheme="majorHAnsi" w:hAnsiTheme="majorHAnsi"/>
      <w:sz w:val="28"/>
    </w:rPr>
  </w:style>
  <w:style w:type="character" w:styleId="Enfasicorsivo">
    <w:name w:val="Emphasis"/>
    <w:uiPriority w:val="99"/>
    <w:semiHidden/>
    <w:qFormat/>
    <w:rsid w:val="00CB7AD0"/>
    <w:rPr>
      <w:b/>
      <w:bCs/>
      <w:i/>
      <w:iCs/>
      <w:spacing w:val="10"/>
      <w:bdr w:val="none" w:sz="0" w:space="0" w:color="auto"/>
      <w:shd w:val="clear" w:color="auto" w:fill="auto"/>
    </w:rPr>
  </w:style>
  <w:style w:type="paragraph" w:styleId="Pidipagina">
    <w:name w:val="footer"/>
    <w:basedOn w:val="Normale"/>
    <w:link w:val="PidipaginaCarattere"/>
    <w:uiPriority w:val="57"/>
    <w:semiHidden/>
    <w:rsid w:val="0016174F"/>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16174F"/>
    <w:rPr>
      <w:sz w:val="24"/>
    </w:rPr>
  </w:style>
  <w:style w:type="character" w:styleId="Rimandonotaapidipagina">
    <w:name w:val="footnote reference"/>
    <w:basedOn w:val="Carpredefinitoparagrafo"/>
    <w:uiPriority w:val="99"/>
    <w:semiHidden/>
    <w:rsid w:val="0016174F"/>
    <w:rPr>
      <w:vertAlign w:val="superscript"/>
    </w:rPr>
  </w:style>
  <w:style w:type="paragraph" w:styleId="Testonotaapidipagina">
    <w:name w:val="footnote text"/>
    <w:basedOn w:val="Normale"/>
    <w:link w:val="TestonotaapidipaginaCarattere"/>
    <w:uiPriority w:val="99"/>
    <w:semiHidden/>
    <w:rsid w:val="0016174F"/>
    <w:rPr>
      <w:sz w:val="20"/>
      <w:szCs w:val="20"/>
    </w:rPr>
  </w:style>
  <w:style w:type="character" w:customStyle="1" w:styleId="TestonotaapidipaginaCarattere">
    <w:name w:val="Testo nota a piè di pagina Carattere"/>
    <w:basedOn w:val="Carpredefinitoparagrafo"/>
    <w:link w:val="Testonotaapidipagina"/>
    <w:uiPriority w:val="99"/>
    <w:semiHidden/>
    <w:rsid w:val="0016174F"/>
    <w:rPr>
      <w:rFonts w:eastAsiaTheme="minorEastAsia"/>
      <w:sz w:val="20"/>
      <w:szCs w:val="20"/>
    </w:rPr>
  </w:style>
  <w:style w:type="character" w:customStyle="1" w:styleId="Titolo6Carattere">
    <w:name w:val="Titolo 6 Carattere"/>
    <w:basedOn w:val="Carpredefinitoparagrafo"/>
    <w:link w:val="Titolo6"/>
    <w:uiPriority w:val="99"/>
    <w:semiHidden/>
    <w:rsid w:val="0016174F"/>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CB7AD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CB7AD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CB7AD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16174F"/>
    <w:rPr>
      <w:color w:val="0072BC" w:themeColor="hyperlink"/>
      <w:u w:val="single"/>
    </w:rPr>
  </w:style>
  <w:style w:type="character" w:styleId="Enfasiintensa">
    <w:name w:val="Intense Emphasis"/>
    <w:uiPriority w:val="99"/>
    <w:semiHidden/>
    <w:qFormat/>
    <w:rsid w:val="00CB7AD0"/>
    <w:rPr>
      <w:b/>
      <w:bCs/>
    </w:rPr>
  </w:style>
  <w:style w:type="paragraph" w:styleId="Citazioneintensa">
    <w:name w:val="Intense Quote"/>
    <w:basedOn w:val="Normale"/>
    <w:next w:val="Normale"/>
    <w:link w:val="CitazioneintensaCarattere"/>
    <w:uiPriority w:val="99"/>
    <w:semiHidden/>
    <w:qFormat/>
    <w:rsid w:val="00CB7AD0"/>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CB7AD0"/>
    <w:rPr>
      <w:rFonts w:eastAsiaTheme="minorEastAsia"/>
      <w:b/>
      <w:bCs/>
      <w:i/>
      <w:iCs/>
      <w:lang w:bidi="en-US"/>
    </w:rPr>
  </w:style>
  <w:style w:type="character" w:styleId="Riferimentointenso">
    <w:name w:val="Intense Reference"/>
    <w:uiPriority w:val="99"/>
    <w:semiHidden/>
    <w:qFormat/>
    <w:rsid w:val="00CB7AD0"/>
    <w:rPr>
      <w:smallCaps/>
      <w:spacing w:val="5"/>
      <w:u w:val="single"/>
    </w:rPr>
  </w:style>
  <w:style w:type="paragraph" w:styleId="Paragrafoelenco">
    <w:name w:val="List Paragraph"/>
    <w:basedOn w:val="Normale"/>
    <w:uiPriority w:val="99"/>
    <w:semiHidden/>
    <w:qFormat/>
    <w:rsid w:val="00CB7AD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CB7AD0"/>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CB7AD0"/>
    <w:rPr>
      <w:rFonts w:eastAsiaTheme="minorEastAsia"/>
      <w:i/>
      <w:iCs/>
      <w:lang w:bidi="en-US"/>
    </w:rPr>
  </w:style>
  <w:style w:type="character" w:styleId="Riferimentodelicato">
    <w:name w:val="Subtle Reference"/>
    <w:uiPriority w:val="99"/>
    <w:semiHidden/>
    <w:qFormat/>
    <w:rsid w:val="00CB7AD0"/>
    <w:rPr>
      <w:smallCaps/>
    </w:rPr>
  </w:style>
  <w:style w:type="table" w:styleId="Grigliatabella">
    <w:name w:val="Table Grid"/>
    <w:basedOn w:val="Tabellanormale"/>
    <w:uiPriority w:val="59"/>
    <w:semiHidden/>
    <w:rsid w:val="0016174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16174F"/>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6174F"/>
    <w:pPr>
      <w:spacing w:after="60"/>
      <w:ind w:left="680" w:right="340" w:hanging="340"/>
    </w:pPr>
  </w:style>
  <w:style w:type="paragraph" w:styleId="Sommario3">
    <w:name w:val="toc 3"/>
    <w:basedOn w:val="Normale"/>
    <w:next w:val="Normale"/>
    <w:autoRedefine/>
    <w:uiPriority w:val="99"/>
    <w:semiHidden/>
    <w:rsid w:val="0016174F"/>
    <w:pPr>
      <w:spacing w:after="60"/>
      <w:ind w:left="1020" w:right="340" w:hanging="340"/>
    </w:pPr>
  </w:style>
  <w:style w:type="paragraph" w:styleId="Sommario4">
    <w:name w:val="toc 4"/>
    <w:basedOn w:val="Normale"/>
    <w:next w:val="Normale"/>
    <w:autoRedefine/>
    <w:uiPriority w:val="99"/>
    <w:semiHidden/>
    <w:rsid w:val="0016174F"/>
    <w:pPr>
      <w:tabs>
        <w:tab w:val="right" w:leader="dot" w:pos="9017"/>
      </w:tabs>
      <w:spacing w:after="60"/>
      <w:ind w:left="1361" w:right="340" w:hanging="340"/>
    </w:pPr>
  </w:style>
  <w:style w:type="paragraph" w:styleId="Sommario5">
    <w:name w:val="toc 5"/>
    <w:basedOn w:val="Normale"/>
    <w:next w:val="Normale"/>
    <w:autoRedefine/>
    <w:uiPriority w:val="99"/>
    <w:semiHidden/>
    <w:rsid w:val="0016174F"/>
    <w:pPr>
      <w:spacing w:after="60"/>
      <w:ind w:left="1701" w:right="340" w:hanging="340"/>
    </w:pPr>
  </w:style>
  <w:style w:type="paragraph" w:styleId="Titolosommario">
    <w:name w:val="TOC Heading"/>
    <w:basedOn w:val="Titolo1"/>
    <w:next w:val="Normale"/>
    <w:uiPriority w:val="99"/>
    <w:semiHidden/>
    <w:qFormat/>
    <w:rsid w:val="00CB7AD0"/>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16174F"/>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uiPriority w:val="14"/>
    <w:qFormat/>
    <w:rsid w:val="00CB7AD0"/>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6174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CB7AD0"/>
    <w:pPr>
      <w:tabs>
        <w:tab w:val="center" w:pos="851"/>
        <w:tab w:val="center" w:pos="6407"/>
      </w:tabs>
      <w:spacing w:before="720"/>
      <w:jc w:val="left"/>
    </w:pPr>
  </w:style>
  <w:style w:type="paragraph" w:customStyle="1" w:styleId="JuParaLast">
    <w:name w:val="Ju_Para_Last"/>
    <w:basedOn w:val="Normale"/>
    <w:next w:val="ECHRPara"/>
    <w:uiPriority w:val="30"/>
    <w:qFormat/>
    <w:rsid w:val="00CB7AD0"/>
    <w:pPr>
      <w:keepNext/>
      <w:keepLines/>
      <w:spacing w:before="240"/>
      <w:ind w:firstLine="284"/>
    </w:pPr>
  </w:style>
  <w:style w:type="paragraph" w:customStyle="1" w:styleId="JuCase">
    <w:name w:val="Ju_Case"/>
    <w:basedOn w:val="Normale"/>
    <w:next w:val="ECHRPara"/>
    <w:uiPriority w:val="10"/>
    <w:rsid w:val="0016174F"/>
    <w:pPr>
      <w:ind w:firstLine="284"/>
    </w:pPr>
    <w:rPr>
      <w:b/>
    </w:rPr>
  </w:style>
  <w:style w:type="paragraph" w:customStyle="1" w:styleId="JuList">
    <w:name w:val="Ju_List"/>
    <w:basedOn w:val="Normale"/>
    <w:uiPriority w:val="28"/>
    <w:qFormat/>
    <w:rsid w:val="00CB7AD0"/>
    <w:pPr>
      <w:ind w:left="340" w:hanging="340"/>
    </w:pPr>
  </w:style>
  <w:style w:type="paragraph" w:customStyle="1" w:styleId="JuCourt">
    <w:name w:val="Ju_Court"/>
    <w:basedOn w:val="Normale"/>
    <w:next w:val="Normale"/>
    <w:uiPriority w:val="16"/>
    <w:qFormat/>
    <w:rsid w:val="00CB7AD0"/>
    <w:pPr>
      <w:tabs>
        <w:tab w:val="left" w:pos="907"/>
        <w:tab w:val="left" w:pos="1701"/>
        <w:tab w:val="right" w:pos="7371"/>
      </w:tabs>
      <w:spacing w:before="240"/>
      <w:ind w:left="397" w:hanging="397"/>
      <w:jc w:val="left"/>
    </w:pPr>
    <w:rPr>
      <w:lang w:bidi="en-U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CB7AD0"/>
    <w:pPr>
      <w:ind w:left="346" w:firstLine="0"/>
    </w:pPr>
  </w:style>
  <w:style w:type="paragraph" w:customStyle="1" w:styleId="JuListi">
    <w:name w:val="Ju_List_i"/>
    <w:basedOn w:val="Normale"/>
    <w:next w:val="JuLista"/>
    <w:uiPriority w:val="28"/>
    <w:qFormat/>
    <w:rsid w:val="00CB7AD0"/>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CB7AD0"/>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semiHidden/>
    <w:rsid w:val="00E77CB3"/>
    <w:rPr>
      <w:rFonts w:ascii="Tahoma" w:eastAsiaTheme="minorEastAsia" w:hAnsi="Tahoma" w:cs="Tahoma"/>
      <w:sz w:val="20"/>
      <w:shd w:val="clear" w:color="auto" w:fill="000080"/>
    </w:rPr>
  </w:style>
  <w:style w:type="paragraph" w:customStyle="1" w:styleId="OpiHa0">
    <w:name w:val="Opi_H_a"/>
    <w:basedOn w:val="ECHRHeading3"/>
    <w:uiPriority w:val="43"/>
    <w:qFormat/>
    <w:rsid w:val="00CB7AD0"/>
    <w:pPr>
      <w:ind w:left="833" w:hanging="357"/>
      <w:outlineLvl w:val="3"/>
    </w:pPr>
    <w:rPr>
      <w:b/>
      <w:i w:val="0"/>
      <w:sz w:val="20"/>
    </w:rPr>
  </w:style>
  <w:style w:type="paragraph" w:styleId="Sottotitolo">
    <w:name w:val="Subtitle"/>
    <w:basedOn w:val="Normale"/>
    <w:next w:val="Normale"/>
    <w:link w:val="SottotitoloCarattere"/>
    <w:uiPriority w:val="99"/>
    <w:semiHidden/>
    <w:qFormat/>
    <w:rsid w:val="00CB7AD0"/>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CB7AD0"/>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i">
    <w:name w:val="Opi_H_i"/>
    <w:basedOn w:val="ECHRHeading4"/>
    <w:uiPriority w:val="44"/>
    <w:qFormat/>
    <w:rsid w:val="00CB7AD0"/>
    <w:pPr>
      <w:ind w:left="1037" w:hanging="357"/>
      <w:outlineLvl w:val="4"/>
    </w:pPr>
    <w:rPr>
      <w:b w:val="0"/>
      <w:i/>
    </w:rPr>
  </w:style>
  <w:style w:type="paragraph" w:customStyle="1" w:styleId="DummyStyle">
    <w:name w:val="Dummy_Style"/>
    <w:basedOn w:val="Normale"/>
    <w:semiHidden/>
    <w:qFormat/>
    <w:rsid w:val="00CB7AD0"/>
    <w:rPr>
      <w:color w:val="00B050"/>
    </w:rPr>
  </w:style>
  <w:style w:type="character" w:customStyle="1" w:styleId="ECHRParaChar">
    <w:name w:val="ECHR_Para Char"/>
    <w:aliases w:val="Ju_Para Char"/>
    <w:link w:val="ECHRPara"/>
    <w:uiPriority w:val="12"/>
    <w:rsid w:val="004708AC"/>
    <w:rPr>
      <w:rFonts w:eastAsiaTheme="minorEastAsia"/>
      <w:sz w:val="24"/>
    </w:rPr>
  </w:style>
  <w:style w:type="character" w:customStyle="1" w:styleId="hps">
    <w:name w:val="hps"/>
    <w:rsid w:val="002B171C"/>
  </w:style>
  <w:style w:type="character" w:customStyle="1" w:styleId="JuParaCar">
    <w:name w:val="Ju_Para Car"/>
    <w:uiPriority w:val="12"/>
    <w:rsid w:val="0070506D"/>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hudoc.echr.coe.int/sites/eng/Pages/search.aspx" TargetMode="Externa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E28E-480F-4067-85C5-B7F327D0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48EB1A-0B3A-4810-BA07-EA8A013915AF}">
  <ds:schemaRefs>
    <ds:schemaRef ds:uri="http://schemas.microsoft.com/sharepoint/v3/contenttype/forms"/>
  </ds:schemaRefs>
</ds:datastoreItem>
</file>

<file path=customXml/itemProps3.xml><?xml version="1.0" encoding="utf-8"?>
<ds:datastoreItem xmlns:ds="http://schemas.openxmlformats.org/officeDocument/2006/customXml" ds:itemID="{3EB7865A-CBE9-4C87-AE63-4E4463F71B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DA0782-6ADB-4453-B887-F4B64B32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6700</Words>
  <Characters>38193</Characters>
  <Application>Microsoft Office Word</Application>
  <DocSecurity>0</DocSecurity>
  <Lines>318</Lines>
  <Paragraphs>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cp:lastPrinted>2016-06-14T07:34:00Z</cp:lastPrinted>
  <dcterms:created xsi:type="dcterms:W3CDTF">2016-07-21T08:29:00Z</dcterms:created>
  <dcterms:modified xsi:type="dcterms:W3CDTF">2016-07-21T08:29:00Z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